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231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276" w:right="276"/>
        <w:jc w:val="center"/>
        <w:rPr>
          <w:b w:val="0"/>
          <w:bCs w:val="0"/>
          <w:color w:val="135194"/>
          <w:sz w:val="21"/>
          <w:szCs w:val="21"/>
        </w:rPr>
      </w:pPr>
      <w:r>
        <w:rPr>
          <w:b w:val="0"/>
          <w:bCs w:val="0"/>
          <w:i w:val="0"/>
          <w:iCs w:val="0"/>
          <w:caps w:val="0"/>
          <w:color w:val="135194"/>
          <w:spacing w:val="0"/>
          <w:sz w:val="21"/>
          <w:szCs w:val="21"/>
          <w:bdr w:val="none" w:color="auto" w:sz="0" w:space="0"/>
        </w:rPr>
        <w:t>2026年国家社科基金艺术学年度项目申报公告</w:t>
      </w:r>
    </w:p>
    <w:p w14:paraId="7510F3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276" w:right="276"/>
        <w:rPr>
          <w:sz w:val="21"/>
          <w:szCs w:val="21"/>
        </w:rPr>
      </w:pPr>
      <w:r>
        <w:rPr>
          <w:rFonts w:hint="eastAsia" w:ascii="宋体" w:hAnsi="宋体" w:eastAsia="宋体" w:cs="宋体"/>
          <w:i w:val="0"/>
          <w:iCs w:val="0"/>
          <w:caps w:val="0"/>
          <w:color w:val="333333"/>
          <w:spacing w:val="0"/>
          <w:sz w:val="21"/>
          <w:szCs w:val="21"/>
          <w:bdr w:val="none" w:color="auto" w:sz="0" w:space="0"/>
        </w:rPr>
        <w:t>发布时间：2026年02月09日</w:t>
      </w:r>
    </w:p>
    <w:p w14:paraId="556233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276" w:right="1178"/>
        <w:rPr>
          <w:sz w:val="21"/>
          <w:szCs w:val="21"/>
        </w:rPr>
      </w:pPr>
      <w:r>
        <w:rPr>
          <w:rFonts w:hint="eastAsia" w:ascii="宋体" w:hAnsi="宋体" w:eastAsia="宋体" w:cs="宋体"/>
          <w:i w:val="0"/>
          <w:iCs w:val="0"/>
          <w:caps w:val="0"/>
          <w:color w:val="333333"/>
          <w:spacing w:val="0"/>
          <w:sz w:val="21"/>
          <w:szCs w:val="21"/>
          <w:bdr w:val="none" w:color="auto" w:sz="0" w:space="0"/>
        </w:rPr>
        <w:t>字体：[</w:t>
      </w:r>
      <w:r>
        <w:rPr>
          <w:rFonts w:hint="eastAsia" w:ascii="宋体" w:hAnsi="宋体" w:eastAsia="宋体" w:cs="宋体"/>
          <w:i w:val="0"/>
          <w:iCs w:val="0"/>
          <w:caps w:val="0"/>
          <w:color w:val="333333"/>
          <w:spacing w:val="0"/>
          <w:sz w:val="21"/>
          <w:szCs w:val="21"/>
          <w:u w:val="none"/>
          <w:bdr w:val="none" w:color="auto" w:sz="0" w:space="0"/>
        </w:rPr>
        <w:fldChar w:fldCharType="begin"/>
      </w:r>
      <w:r>
        <w:rPr>
          <w:rFonts w:hint="eastAsia" w:ascii="宋体" w:hAnsi="宋体" w:eastAsia="宋体" w:cs="宋体"/>
          <w:i w:val="0"/>
          <w:iCs w:val="0"/>
          <w:caps w:val="0"/>
          <w:color w:val="333333"/>
          <w:spacing w:val="0"/>
          <w:sz w:val="21"/>
          <w:szCs w:val="21"/>
          <w:u w:val="none"/>
          <w:bdr w:val="none" w:color="auto" w:sz="0" w:space="0"/>
        </w:rPr>
        <w:instrText xml:space="preserve"> HYPERLINK "javascript:;" </w:instrText>
      </w:r>
      <w:r>
        <w:rPr>
          <w:rFonts w:hint="eastAsia" w:ascii="宋体" w:hAnsi="宋体" w:eastAsia="宋体" w:cs="宋体"/>
          <w:i w:val="0"/>
          <w:iCs w:val="0"/>
          <w:caps w:val="0"/>
          <w:color w:val="333333"/>
          <w:spacing w:val="0"/>
          <w:sz w:val="21"/>
          <w:szCs w:val="21"/>
          <w:u w:val="none"/>
          <w:bdr w:val="none" w:color="auto" w:sz="0" w:space="0"/>
        </w:rPr>
        <w:fldChar w:fldCharType="separate"/>
      </w:r>
      <w:r>
        <w:rPr>
          <w:rStyle w:val="6"/>
          <w:rFonts w:hint="eastAsia" w:ascii="宋体" w:hAnsi="宋体" w:eastAsia="宋体" w:cs="宋体"/>
          <w:i w:val="0"/>
          <w:iCs w:val="0"/>
          <w:caps w:val="0"/>
          <w:color w:val="333333"/>
          <w:spacing w:val="0"/>
          <w:sz w:val="21"/>
          <w:szCs w:val="21"/>
          <w:u w:val="none"/>
          <w:bdr w:val="none" w:color="auto" w:sz="0" w:space="0"/>
        </w:rPr>
        <w:t>大</w:t>
      </w:r>
      <w:r>
        <w:rPr>
          <w:rFonts w:hint="eastAsia" w:ascii="宋体" w:hAnsi="宋体" w:eastAsia="宋体" w:cs="宋体"/>
          <w:i w:val="0"/>
          <w:iCs w:val="0"/>
          <w:caps w:val="0"/>
          <w:color w:val="333333"/>
          <w:spacing w:val="0"/>
          <w:sz w:val="21"/>
          <w:szCs w:val="21"/>
          <w:u w:val="none"/>
          <w:bdr w:val="none" w:color="auto" w:sz="0" w:space="0"/>
        </w:rPr>
        <w:fldChar w:fldCharType="end"/>
      </w:r>
      <w:r>
        <w:rPr>
          <w:rFonts w:hint="eastAsia" w:ascii="宋体" w:hAnsi="宋体" w:eastAsia="宋体" w:cs="宋体"/>
          <w:i w:val="0"/>
          <w:iCs w:val="0"/>
          <w:caps w:val="0"/>
          <w:color w:val="333333"/>
          <w:spacing w:val="0"/>
          <w:sz w:val="21"/>
          <w:szCs w:val="21"/>
          <w:u w:val="none"/>
          <w:bdr w:val="none" w:color="auto" w:sz="0" w:space="0"/>
        </w:rPr>
        <w:fldChar w:fldCharType="begin"/>
      </w:r>
      <w:r>
        <w:rPr>
          <w:rFonts w:hint="eastAsia" w:ascii="宋体" w:hAnsi="宋体" w:eastAsia="宋体" w:cs="宋体"/>
          <w:i w:val="0"/>
          <w:iCs w:val="0"/>
          <w:caps w:val="0"/>
          <w:color w:val="333333"/>
          <w:spacing w:val="0"/>
          <w:sz w:val="21"/>
          <w:szCs w:val="21"/>
          <w:u w:val="none"/>
          <w:bdr w:val="none" w:color="auto" w:sz="0" w:space="0"/>
        </w:rPr>
        <w:instrText xml:space="preserve"> HYPERLINK "javascript:;" </w:instrText>
      </w:r>
      <w:r>
        <w:rPr>
          <w:rFonts w:hint="eastAsia" w:ascii="宋体" w:hAnsi="宋体" w:eastAsia="宋体" w:cs="宋体"/>
          <w:i w:val="0"/>
          <w:iCs w:val="0"/>
          <w:caps w:val="0"/>
          <w:color w:val="333333"/>
          <w:spacing w:val="0"/>
          <w:sz w:val="21"/>
          <w:szCs w:val="21"/>
          <w:u w:val="none"/>
          <w:bdr w:val="none" w:color="auto" w:sz="0" w:space="0"/>
        </w:rPr>
        <w:fldChar w:fldCharType="separate"/>
      </w:r>
      <w:r>
        <w:rPr>
          <w:rStyle w:val="6"/>
          <w:rFonts w:hint="eastAsia" w:ascii="宋体" w:hAnsi="宋体" w:eastAsia="宋体" w:cs="宋体"/>
          <w:i w:val="0"/>
          <w:iCs w:val="0"/>
          <w:caps w:val="0"/>
          <w:color w:val="333333"/>
          <w:spacing w:val="0"/>
          <w:sz w:val="21"/>
          <w:szCs w:val="21"/>
          <w:u w:val="none"/>
          <w:bdr w:val="none" w:color="auto" w:sz="0" w:space="0"/>
        </w:rPr>
        <w:t>中</w:t>
      </w:r>
      <w:r>
        <w:rPr>
          <w:rFonts w:hint="eastAsia" w:ascii="宋体" w:hAnsi="宋体" w:eastAsia="宋体" w:cs="宋体"/>
          <w:i w:val="0"/>
          <w:iCs w:val="0"/>
          <w:caps w:val="0"/>
          <w:color w:val="333333"/>
          <w:spacing w:val="0"/>
          <w:sz w:val="21"/>
          <w:szCs w:val="21"/>
          <w:u w:val="none"/>
          <w:bdr w:val="none" w:color="auto" w:sz="0" w:space="0"/>
        </w:rPr>
        <w:fldChar w:fldCharType="end"/>
      </w:r>
      <w:r>
        <w:rPr>
          <w:rFonts w:hint="eastAsia" w:ascii="宋体" w:hAnsi="宋体" w:eastAsia="宋体" w:cs="宋体"/>
          <w:i w:val="0"/>
          <w:iCs w:val="0"/>
          <w:caps w:val="0"/>
          <w:color w:val="333333"/>
          <w:spacing w:val="0"/>
          <w:sz w:val="21"/>
          <w:szCs w:val="21"/>
          <w:u w:val="none"/>
          <w:bdr w:val="none" w:color="auto" w:sz="0" w:space="0"/>
        </w:rPr>
        <w:fldChar w:fldCharType="begin"/>
      </w:r>
      <w:r>
        <w:rPr>
          <w:rFonts w:hint="eastAsia" w:ascii="宋体" w:hAnsi="宋体" w:eastAsia="宋体" w:cs="宋体"/>
          <w:i w:val="0"/>
          <w:iCs w:val="0"/>
          <w:caps w:val="0"/>
          <w:color w:val="333333"/>
          <w:spacing w:val="0"/>
          <w:sz w:val="21"/>
          <w:szCs w:val="21"/>
          <w:u w:val="none"/>
          <w:bdr w:val="none" w:color="auto" w:sz="0" w:space="0"/>
        </w:rPr>
        <w:instrText xml:space="preserve"> HYPERLINK "javascript:;" </w:instrText>
      </w:r>
      <w:r>
        <w:rPr>
          <w:rFonts w:hint="eastAsia" w:ascii="宋体" w:hAnsi="宋体" w:eastAsia="宋体" w:cs="宋体"/>
          <w:i w:val="0"/>
          <w:iCs w:val="0"/>
          <w:caps w:val="0"/>
          <w:color w:val="333333"/>
          <w:spacing w:val="0"/>
          <w:sz w:val="21"/>
          <w:szCs w:val="21"/>
          <w:u w:val="none"/>
          <w:bdr w:val="none" w:color="auto" w:sz="0" w:space="0"/>
        </w:rPr>
        <w:fldChar w:fldCharType="separate"/>
      </w:r>
      <w:r>
        <w:rPr>
          <w:rStyle w:val="6"/>
          <w:rFonts w:hint="eastAsia" w:ascii="宋体" w:hAnsi="宋体" w:eastAsia="宋体" w:cs="宋体"/>
          <w:i w:val="0"/>
          <w:iCs w:val="0"/>
          <w:caps w:val="0"/>
          <w:color w:val="333333"/>
          <w:spacing w:val="0"/>
          <w:sz w:val="21"/>
          <w:szCs w:val="21"/>
          <w:u w:val="none"/>
          <w:bdr w:val="none" w:color="auto" w:sz="0" w:space="0"/>
        </w:rPr>
        <w:t>小</w:t>
      </w:r>
      <w:r>
        <w:rPr>
          <w:rFonts w:hint="eastAsia" w:ascii="宋体" w:hAnsi="宋体" w:eastAsia="宋体" w:cs="宋体"/>
          <w:i w:val="0"/>
          <w:iCs w:val="0"/>
          <w:caps w:val="0"/>
          <w:color w:val="333333"/>
          <w:spacing w:val="0"/>
          <w:sz w:val="21"/>
          <w:szCs w:val="21"/>
          <w:u w:val="none"/>
          <w:bdr w:val="none" w:color="auto" w:sz="0" w:space="0"/>
        </w:rPr>
        <w:fldChar w:fldCharType="end"/>
      </w:r>
      <w:r>
        <w:rPr>
          <w:rFonts w:hint="eastAsia" w:ascii="宋体" w:hAnsi="宋体" w:eastAsia="宋体" w:cs="宋体"/>
          <w:i w:val="0"/>
          <w:iCs w:val="0"/>
          <w:caps w:val="0"/>
          <w:color w:val="333333"/>
          <w:spacing w:val="0"/>
          <w:sz w:val="21"/>
          <w:szCs w:val="21"/>
          <w:bdr w:val="none" w:color="auto" w:sz="0" w:space="0"/>
        </w:rPr>
        <w:t>]</w:t>
      </w:r>
    </w:p>
    <w:p w14:paraId="1D94A8A4">
      <w:pPr>
        <w:keepNext w:val="0"/>
        <w:keepLines w:val="0"/>
        <w:widowControl/>
        <w:suppressLineNumbers w:val="0"/>
        <w:pBdr>
          <w:top w:val="none" w:color="auto" w:sz="0" w:space="0"/>
          <w:left w:val="none" w:color="auto" w:sz="0" w:space="0"/>
          <w:bottom w:val="none" w:color="auto" w:sz="0" w:space="0"/>
          <w:right w:val="none" w:color="auto" w:sz="0" w:space="0"/>
        </w:pBdr>
        <w:spacing w:after="0" w:afterAutospacing="0" w:line="180" w:lineRule="atLeast"/>
        <w:ind w:left="1178" w:right="276"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999999"/>
          <w:spacing w:val="0"/>
          <w:kern w:val="0"/>
          <w:sz w:val="21"/>
          <w:szCs w:val="21"/>
          <w:u w:val="none"/>
          <w:bdr w:val="none" w:color="auto" w:sz="0" w:space="0"/>
          <w:lang w:val="en-US" w:eastAsia="zh-CN" w:bidi="ar"/>
        </w:rPr>
        <w:fldChar w:fldCharType="begin"/>
      </w:r>
      <w:r>
        <w:rPr>
          <w:rFonts w:hint="eastAsia" w:ascii="宋体" w:hAnsi="宋体" w:eastAsia="宋体" w:cs="宋体"/>
          <w:i w:val="0"/>
          <w:iCs w:val="0"/>
          <w:caps w:val="0"/>
          <w:color w:val="999999"/>
          <w:spacing w:val="0"/>
          <w:kern w:val="0"/>
          <w:sz w:val="21"/>
          <w:szCs w:val="21"/>
          <w:u w:val="none"/>
          <w:bdr w:val="none" w:color="auto" w:sz="0" w:space="0"/>
          <w:lang w:val="en-US" w:eastAsia="zh-CN" w:bidi="ar"/>
        </w:rPr>
        <w:instrText xml:space="preserve"> HYPERLINK "javascript:window.print()" \o "打印" </w:instrText>
      </w:r>
      <w:r>
        <w:rPr>
          <w:rFonts w:hint="eastAsia" w:ascii="宋体" w:hAnsi="宋体" w:eastAsia="宋体" w:cs="宋体"/>
          <w:i w:val="0"/>
          <w:iCs w:val="0"/>
          <w:caps w:val="0"/>
          <w:color w:val="999999"/>
          <w:spacing w:val="0"/>
          <w:kern w:val="0"/>
          <w:sz w:val="21"/>
          <w:szCs w:val="21"/>
          <w:u w:val="none"/>
          <w:bdr w:val="none" w:color="auto" w:sz="0" w:space="0"/>
          <w:lang w:val="en-US" w:eastAsia="zh-CN" w:bidi="ar"/>
        </w:rPr>
        <w:fldChar w:fldCharType="separate"/>
      </w:r>
      <w:r>
        <w:rPr>
          <w:rStyle w:val="6"/>
          <w:rFonts w:hint="eastAsia" w:ascii="宋体" w:hAnsi="宋体" w:eastAsia="宋体" w:cs="宋体"/>
          <w:i w:val="0"/>
          <w:iCs w:val="0"/>
          <w:caps w:val="0"/>
          <w:color w:val="999999"/>
          <w:spacing w:val="0"/>
          <w:sz w:val="21"/>
          <w:szCs w:val="21"/>
          <w:u w:val="none"/>
          <w:bdr w:val="none" w:color="auto" w:sz="0" w:space="0"/>
        </w:rPr>
        <w:t>打印</w:t>
      </w:r>
      <w:r>
        <w:rPr>
          <w:rFonts w:hint="eastAsia" w:ascii="宋体" w:hAnsi="宋体" w:eastAsia="宋体" w:cs="宋体"/>
          <w:i w:val="0"/>
          <w:iCs w:val="0"/>
          <w:caps w:val="0"/>
          <w:color w:val="999999"/>
          <w:spacing w:val="0"/>
          <w:kern w:val="0"/>
          <w:sz w:val="21"/>
          <w:szCs w:val="21"/>
          <w:u w:val="none"/>
          <w:bdr w:val="none" w:color="auto" w:sz="0" w:space="0"/>
          <w:lang w:val="en-US" w:eastAsia="zh-CN" w:bidi="ar"/>
        </w:rPr>
        <w:fldChar w:fldCharType="end"/>
      </w:r>
    </w:p>
    <w:p w14:paraId="5366B0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全国艺术科学规划领导小组工作办公室（以下简称全国艺术科学规划办）现就做好2026年国家社科基金艺术学年度项目申报工作的有关事项公告如下。</w:t>
      </w:r>
    </w:p>
    <w:p w14:paraId="23C1A8F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一、指导思想</w:t>
      </w:r>
    </w:p>
    <w:p w14:paraId="258912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2026年国家社科基金艺术学年度项目申报和评审工作要以习近平新时代中国特色社会主义思想为指导，以习近平文化思想为引领，全面贯彻落实党的二十大和二十届历次全会精神，深入实施《中共中央关于加快构建中国特色哲学社会科学的意见》，坚持正确的政治方向、价值取向和学术导向，坚持有组织科研和自主探索相结合，坚</w:t>
      </w:r>
      <w:bookmarkStart w:id="0" w:name="_GoBack"/>
      <w:bookmarkEnd w:id="0"/>
      <w:r>
        <w:rPr>
          <w:rFonts w:hint="eastAsia" w:ascii="宋体" w:hAnsi="宋体" w:eastAsia="宋体" w:cs="宋体"/>
          <w:i w:val="0"/>
          <w:iCs w:val="0"/>
          <w:caps w:val="0"/>
          <w:color w:val="333333"/>
          <w:spacing w:val="0"/>
          <w:kern w:val="0"/>
          <w:sz w:val="21"/>
          <w:szCs w:val="21"/>
          <w:bdr w:val="none" w:color="auto" w:sz="0" w:space="0"/>
          <w:lang w:val="en-US" w:eastAsia="zh-CN" w:bidi="ar"/>
        </w:rPr>
        <w:t>持以重大理论和现实问题为主攻方向，坚持基础研究和应用研究并重，发挥国家社科基金艺术学项目示范引导作用，推动中国特色艺术学学科体系、学术体系、话语体系建设，推进自主知识体系构建，更好服务党和国家工作大局。</w:t>
      </w:r>
    </w:p>
    <w:p w14:paraId="00D432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二、项目类型</w:t>
      </w:r>
    </w:p>
    <w:p w14:paraId="736453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本次受理申报的国家社科基金艺术学年度项目包括一般项目、重点项目、青年项目、西部项目。</w:t>
      </w:r>
    </w:p>
    <w:p w14:paraId="7A68E1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401CEBB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重点项目应围绕党和国家工作大局、经济社会发展重要理论和实践问题、艺术学领域重要基础和前沿问题开展原创性研究，鼓励学科交叉。申请人应具有较好的前期研究基础，预期成果体量和质量应高于一般项目。申报重点项目评审未通过的，原则上不再转立为一般项目。</w:t>
      </w:r>
    </w:p>
    <w:p w14:paraId="34DC3F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青年项目旨在加强对青年人才的扶持和培养，发挥青年学者优势，推进知识创新、理论创新、方法创新和应用创新。</w:t>
      </w:r>
    </w:p>
    <w:p w14:paraId="3A835F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3BF39A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三、总体要求</w:t>
      </w:r>
    </w:p>
    <w:p w14:paraId="46FBA7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本次申报不发布具体课题指南。申请人可对照国家社科基金艺术学近年已立项课题和研究成果，对应上述项目类别的定位和要求，着眼国家需求和学科发展，突出明确的问题意识，从学科视角按照选题规范自主拟定题目申报，避免重复研究。题目表述要符合项目定位，科学严谨、简明规范，避免引起歧义或争议。</w:t>
      </w:r>
    </w:p>
    <w:p w14:paraId="79BBC5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申报国家社科基金艺术学年度项目，要体现鲜明的时代特征、问题导向和创新意识，着力推出代表正确方向、体现国家水准的研究成果。基础研究要密切跟踪国内外学术发展和学科建设的前沿和动态，具有主体性、原创性和较高的学术思想价值；应用研究要立足党和国家事业发展需要，聚焦文化艺术发展中的全局性、战略性和前瞻性的重大理论与实践问题，具有现实性、针对性和较高的决策参考价值。</w:t>
      </w:r>
    </w:p>
    <w:p w14:paraId="1CE945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四、申请人条件</w:t>
      </w:r>
    </w:p>
    <w:p w14:paraId="28951E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申请人须遵守中华人民共和国宪法和法律，遵守国家社科基金艺术学项目管理规定，具有独立开展研究和组织开展研究的能力，能够承担实质性研究工作，品行端正、学风优良，同时须具备下列相关条件：</w:t>
      </w:r>
    </w:p>
    <w:p w14:paraId="14B8FC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（一）重点项目和一般项目：具有副高级以上（含）专业技术职称或具有博士学位。</w:t>
      </w:r>
    </w:p>
    <w:p w14:paraId="41FEB6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（二）青年项目：男性申请人年龄不超过35周岁（1991年4月10日后出生），女性申请人年龄不超过40周岁（1986年4月10日后出生）。</w:t>
      </w:r>
    </w:p>
    <w:p w14:paraId="71D2CF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三）西部项目：符合条件（一），且申请单位位于内蒙古自治区、广西壮族自治区、海南省、重庆市、四川省、贵州省、云南省、西藏自治区、陕西省、甘肃省、青海省、宁夏回族自治区、新疆维吾尔自治区等13个省（区、市），以及其他参照西部项目执行的部分科研单位。</w:t>
      </w:r>
    </w:p>
    <w:p w14:paraId="5D708A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四）全日制在读研究生不能申请（学历、学位证书标注日期均须在2026年4月10日之前）。符合申报要求的在站博士后人员可申请，其中全脱产博士后须从所在博士后工作站申请，在职博士后可以从所在工作单位或博士后工作站申请。</w:t>
      </w:r>
    </w:p>
    <w:p w14:paraId="02B592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（五）各项目课题组列入研究成员须征得本人同意，否则视为违规申报。申请人可根据实际研究需要，吸收境外研究人员作为课题组成员。</w:t>
      </w:r>
    </w:p>
    <w:p w14:paraId="686287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（六）文化和旅游部机关工作人员不能申请或者作为课题组成员参与申请。</w:t>
      </w:r>
    </w:p>
    <w:p w14:paraId="0EBFD5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五、申请单位条件</w:t>
      </w:r>
    </w:p>
    <w:p w14:paraId="68B992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担信誉保证。</w:t>
      </w:r>
    </w:p>
    <w:p w14:paraId="3D500B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六、资助额度</w:t>
      </w:r>
    </w:p>
    <w:p w14:paraId="7B30AC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国家社科基金艺术学年度项目的资助额度参考标准：重点项目35万元，一般项目、青年项目、西部项目20万元。最终确定的资助额度在适当范围内上下浮动，申请人应按照《国家社会科学基金项目资金管理办法》的要求，根据实际需要编制科学合理的经费预算。</w:t>
      </w:r>
    </w:p>
    <w:p w14:paraId="1541E3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七、完成时限</w:t>
      </w:r>
    </w:p>
    <w:p w14:paraId="7477641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国家社科基金艺术学年度项目完成时限一般不超过5年，其中基础理论研究一般为3—5年，应用对策研究一般为2—3年。</w:t>
      </w:r>
    </w:p>
    <w:p w14:paraId="6AFFAF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八、申报限额要求</w:t>
      </w:r>
    </w:p>
    <w:p w14:paraId="10B5FB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2026年国家社科基金艺术学年度项目继续实行网上申报，请申请人登录“全国艺术科学规划项目管理平台”（以下简称项目管理平台，网址：https://yskx.mct.gov.cn），按照有关说明注册账号并提交申报材料。本年度继续实行限额申报，各全国艺术科学规划项目省级管理机构、文化和旅游部直属单位及共建院校可直接登录项目管理平台查看本地区（本单位）限额指标。各省级管理机构需根据本地区申请单位近年来项目申报、立项及科研管理等情况制定限额方案。省级管理机构和申请单位要着力提高申报质量，减少同类选题重复申报，加大对青年项目的支持力度。</w:t>
      </w:r>
    </w:p>
    <w:p w14:paraId="438391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九、申报限定要求</w:t>
      </w:r>
    </w:p>
    <w:p w14:paraId="5EE9E73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为避免一题多报、交叉申请和重复立项，确保申请人有足够的时间和精力从事课题研究，2026年国家社科基金艺术学年度项目申请作如下限定：</w:t>
      </w:r>
    </w:p>
    <w:p w14:paraId="5A2317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一）申请人只能申报一个国家社科基金艺术学年度项目，且不能作为课题组成员参与申报其他国家社科基金艺术学年度项目。课题组成员最多参与两个国家社科基金艺术学年度项目申请；在研国家级项目课题组成员最多参与一个国家社科基金艺术学年度项目申请。申报本次年度项目的申请人不能申报2026年国家社会科学基金艺术学重大项目。</w:t>
      </w:r>
    </w:p>
    <w:p w14:paraId="4D353A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二）在研的国家社科基金各类项目、国家自然科学基金项目及其他国家级科研项目的负责人，不得申报新的国家社科基金艺术学年度项目（结项证书标注日期在2026年4月10日之前的，或在4月1日前已通过项目管理平台提交结项材料并审核通过的，可以申请）。</w:t>
      </w:r>
    </w:p>
    <w:p w14:paraId="34267C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三）国家社科基金项目、国家自然科学基金项目及其他国家级科研项目、教育部人文社会科学研究一般项目的申请人同年度不能申报国家社科基金艺术学年度项目，其课题组成员也不能作为负责人以内容相同或相近选题申请国家社科基金艺术学年度项目。</w:t>
      </w:r>
    </w:p>
    <w:p w14:paraId="183B08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（四）不得通过变换责任单位回避前述条款规定，不得将内容基本相同或相近的申报材料以不同申请人的名义提出申请。</w:t>
      </w:r>
    </w:p>
    <w:p w14:paraId="55C797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（五）凡在内容上与已结项的各类国家级科研项目有较大关联的，须在申请时详细说明所申请项目与已承担项目的联系和区别，否则视为重复申请；不得以内容基本相同或相近的同一成果申请多家基金项目结项。</w:t>
      </w:r>
    </w:p>
    <w:p w14:paraId="03CBD0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六）凡以博士学位论文或博士后出站报告为基础申报国家社科基金艺术学年度项目，须在申请时注明所申请项目与学位论文（出站报告）的联系和区别，并承诺在原论文（出站报告）基础上进行实质性修改，预期成果与学位论文（出站报告）的重复比例不得超过60%，申请鉴定结项时须提交学位论文（出站报告）原件。</w:t>
      </w:r>
    </w:p>
    <w:p w14:paraId="06EDED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（七）不得使用与已出版的内容基本相同的研究成果申请国家社科基金艺术学年度项目。</w:t>
      </w:r>
    </w:p>
    <w:p w14:paraId="21D928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（八）立项后凡以国家社科基金艺术学年度项目名义发表阶段性成果或最终成果，不得同时标注多家基金项目资助字样。</w:t>
      </w:r>
    </w:p>
    <w:p w14:paraId="30C0D7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（九）预期成果需达到国家级项目应有体量。</w:t>
      </w:r>
    </w:p>
    <w:p w14:paraId="5812DB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十、评审立项流程</w:t>
      </w:r>
    </w:p>
    <w:p w14:paraId="1592E4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所有申报项目将通过资格审查、同行专家通讯初评和复评等程序。资格审查和评审工作严格按照《全国艺术科学规划项目管理办法》及本公告的规定进行。通讯初评采用“活页”匿名方式，“活页”论证字数不超过4000字，不得出现申请人、课题组成员姓名及所在单位名称等有关信息，否则取消参评资格。项目评审坚持公平、公正原则，保证质量，宁缺毋滥。评审结果在文化和旅游部门户网站及相关媒体公示7天，公示期满，对无异议项目下达立项通知书。</w:t>
      </w:r>
    </w:p>
    <w:p w14:paraId="6D624F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十一、申报纪律要求</w:t>
      </w:r>
    </w:p>
    <w:p w14:paraId="277260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（一）贯彻落实中央《关于进一步加强科研诚信建设的若干意见》，申请人要如实填写材料，保证申请信息的真实性和准确性、保证没有知识产权争议、没有违背科研诚信要求的行为。</w:t>
      </w:r>
    </w:p>
    <w:p w14:paraId="2997B1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二）申请人要弘扬崇尚精品、严谨治学、注重诚信、讲求责任的优良学风，自觉坚持公平竞争的原则，严格遵守国家社科基金项目管理规定。凡在项目申报和评审中发现有弄虚作假、抄袭剽窃、违规违纪等行为的，一经查实即取消参评资格，5年内不得申报国家社科基金项目，同时通报批评，并责成所在单位依规进行处分，如获立项，一律撤项，并列入不良科研信用记录。</w:t>
      </w:r>
    </w:p>
    <w:p w14:paraId="60C223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三）获准立项后，项目管理平台生成的《申报书》视为有约束力的资助合同文本，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论证中予以说明。</w:t>
      </w:r>
    </w:p>
    <w:p w14:paraId="5B3742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十二、申报审核流程</w:t>
      </w:r>
    </w:p>
    <w:p w14:paraId="4FC4B4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全国艺术科学规划办不直接受理申报，委托中国艺术科技研究所承担申报材料的受理工作。</w:t>
      </w:r>
    </w:p>
    <w:p w14:paraId="54031D8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除文化和旅游部直属单位及共建院校外，国家社科基金艺术学年度项目实行三级申报制度，申报课题经本单位、省级管理机构、中国艺术科技研究所审核后报送至全国艺术科学规划办；文化和旅游部直属单位及共建院校实行二级申报制度，申报课题经本单位、中国艺术科技研究所审核后报送至全国艺术科学规划办。</w:t>
      </w:r>
    </w:p>
    <w:p w14:paraId="5D8F11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各省级管理机构和申请单位要做好申报组织及申报材料的审核把关工作，根据本公告及有关规定严格审核《申报书》的所有栏目内容，特别是严格审核申报资格、前期研究成果的真实性、课题组的研究实力和必备条件等，通过项目管理平台签署明确意见，承担信誉保证。要认真负责做好账号管理、名单报送等工作，确保网上申报按期完成。</w:t>
      </w:r>
    </w:p>
    <w:p w14:paraId="75B08E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十三、申报参考文件</w:t>
      </w:r>
    </w:p>
    <w:p w14:paraId="01A86C0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课题申报相关文件材料，《国家社会科学基金项目资金管理办法》《全国艺术科学规划项目管理办法》《历年立项课题汇编》等，可在项目管理平台主页上查询、下载。 </w:t>
      </w:r>
    </w:p>
    <w:p w14:paraId="0B876E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十四、申报时限要求</w:t>
      </w:r>
    </w:p>
    <w:p w14:paraId="27C346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申请人及所在单位（含文化和旅游部直属单位及共建院校）网上集中申报和审核提交时间为2026年2月10日至4月10日，逾期项目管理平台自动关闭，不再受理申报、审核。申报单位完成本级资格审查及项目提交后，要同时将生成的本单位项目汇总表打印盖章后报送至各省级管理机构；省级管理机构网上审核提交时间为4月11日至4月30日，省级管理机构、文化和旅游部直属单位及共建院校完成本级资格审查及项目提交后，要同时将项目管理平台生成的本地区（本单位）项目汇总表打印盖章后报送至中国艺术科技研究所全国艺术科学规划项目管理中心。请严格按照以上时间要求进行申报、审核，因错过受理时间、未按要求操作造成的责任由相关人员自行承担。</w:t>
      </w:r>
    </w:p>
    <w:p w14:paraId="257678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邮寄地址：北京市东城区雍和宫大街戏楼胡同1号中国艺术科技研究所全国艺术科学规划项目管理中心</w:t>
      </w:r>
    </w:p>
    <w:p w14:paraId="2AA8C5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邮政编码：100007</w:t>
      </w:r>
    </w:p>
    <w:p w14:paraId="10F36D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咨询电话：010-87930753</w:t>
      </w:r>
    </w:p>
    <w:p w14:paraId="2361BF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邮箱：qgyskxghb@163.com（请优先通过邮箱咨询申报问题）</w:t>
      </w:r>
    </w:p>
    <w:p w14:paraId="0F19D9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特此公告。</w:t>
      </w:r>
    </w:p>
    <w:p w14:paraId="7B482E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p>
    <w:p w14:paraId="3BC16B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righ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全国艺术科学规划领导小组办公室</w:t>
      </w:r>
    </w:p>
    <w:p w14:paraId="20922C9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righ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2026年2月9日    </w:t>
      </w:r>
    </w:p>
    <w:p w14:paraId="1D861C27">
      <w:pPr>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F832BF"/>
    <w:rsid w:val="30F83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rPr>
      <w:sz w:val="24"/>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2026-02-12T11:14:00Z</dcterms:created>
  <dc:creator>Z&amp;W</dc:creator>
  <cp:lastModifiedBy>Z&amp;W</cp:lastModifiedBy>
  <dcterms:modified xsi:type="dcterms:W3CDTF">2026-02-12T11:14:50Z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CB3401C567584AE980E91E31E42BB6CF_11</vt:lpwstr>
  </property>
  <property fmtid="{D5CDD505-2E9C-101B-9397-08002B2CF9AE}" pid="4" name="KSOTemplateDocerSaveRecord">
    <vt:lpwstr>eyJoZGlkIjoiZjVmNjk0ZTdhN2ZmMGQzMTQyNjhkOWRmY2EyNGY0ZDIiLCJ1c2VySWQiOiIyNTY2MDE1MjgifQ==</vt:lpwstr>
  </property>
</Properties>
</file>