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400" w:lineRule="exact"/>
        <w:rPr>
          <w:rFonts w:hint="eastAsia" w:hAnsi="宋体" w:cs="宋体"/>
          <w:color w:val="FF0000"/>
          <w:sz w:val="21"/>
          <w:szCs w:val="21"/>
          <w:lang w:val="en-US" w:eastAsia="zh-CN"/>
        </w:rPr>
      </w:pPr>
      <w:r>
        <w:rPr>
          <w:rFonts w:hint="eastAsia" w:hAnsi="宋体" w:cs="宋体"/>
          <w:sz w:val="28"/>
          <w:szCs w:val="28"/>
        </w:rPr>
        <w:t>（一) 项目概述</w:t>
      </w:r>
    </w:p>
    <w:p>
      <w:pPr>
        <w:pStyle w:val="4"/>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hAnsi="宋体" w:cs="宋体"/>
          <w:sz w:val="28"/>
          <w:szCs w:val="28"/>
          <w:lang w:val="en-US" w:eastAsia="zh-CN"/>
        </w:rPr>
      </w:pPr>
      <w:r>
        <w:rPr>
          <w:rFonts w:hint="eastAsia" w:hAnsi="宋体" w:cs="宋体"/>
          <w:sz w:val="28"/>
          <w:szCs w:val="28"/>
          <w:lang w:val="en-US" w:eastAsia="zh-CN"/>
        </w:rPr>
        <w:t>本项目为信息技术学院计算机设计与仿真实训室电脑升级改造，该实验室始建于2016年，共有90台联想电脑，需每台增加一个512G固态硬盘和8G内存条，并提供网络改造及软硬件安装部署（包括硬盘及内存安装、同传及教学软件安装）。</w:t>
      </w:r>
    </w:p>
    <w:p>
      <w:pPr>
        <w:pStyle w:val="4"/>
        <w:spacing w:line="400" w:lineRule="exact"/>
        <w:rPr>
          <w:rFonts w:hint="eastAsia" w:hAnsi="宋体" w:cs="宋体"/>
          <w:sz w:val="28"/>
          <w:szCs w:val="28"/>
          <w:lang w:val="en-US" w:eastAsia="zh-CN"/>
        </w:rPr>
      </w:pPr>
      <w:r>
        <w:rPr>
          <w:rFonts w:hint="eastAsia" w:hAnsi="宋体" w:cs="宋体"/>
          <w:sz w:val="28"/>
          <w:szCs w:val="28"/>
        </w:rPr>
        <w:t xml:space="preserve"> </w:t>
      </w:r>
      <w:r>
        <w:rPr>
          <w:rFonts w:hint="eastAsia" w:hAnsi="宋体" w:cs="宋体"/>
          <w:color w:val="4F81BD" w:themeColor="accent1"/>
          <w:sz w:val="28"/>
          <w:szCs w:val="28"/>
          <w14:textFill>
            <w14:solidFill>
              <w14:schemeClr w14:val="accent1"/>
            </w14:solidFill>
          </w14:textFill>
        </w:rPr>
        <w:t xml:space="preserve">    </w:t>
      </w:r>
      <w:r>
        <w:rPr>
          <w:rFonts w:hint="eastAsia" w:hAnsi="宋体" w:cs="宋体"/>
          <w:color w:val="4F81BD" w:themeColor="accent1"/>
          <w:sz w:val="28"/>
          <w:szCs w:val="28"/>
          <w:lang w:val="en-US" w:eastAsia="zh-CN"/>
          <w14:textFill>
            <w14:solidFill>
              <w14:schemeClr w14:val="accent1"/>
            </w14:solidFill>
          </w14:textFill>
        </w:rPr>
        <w:t xml:space="preserve">                    </w:t>
      </w:r>
      <w:r>
        <w:rPr>
          <w:rFonts w:hint="eastAsia" w:hAnsi="宋体" w:cs="宋体"/>
          <w:sz w:val="28"/>
          <w:szCs w:val="28"/>
          <w:lang w:val="en-US" w:eastAsia="zh-CN"/>
        </w:rPr>
        <w:t xml:space="preserve">     </w:t>
      </w:r>
    </w:p>
    <w:p>
      <w:pPr>
        <w:pStyle w:val="4"/>
        <w:spacing w:line="400" w:lineRule="exact"/>
        <w:rPr>
          <w:rFonts w:hint="eastAsia" w:hAnsi="宋体" w:cs="宋体"/>
          <w:sz w:val="28"/>
          <w:szCs w:val="28"/>
        </w:rPr>
      </w:pPr>
      <w:r>
        <w:rPr>
          <w:rFonts w:hint="eastAsia" w:hAnsi="宋体" w:cs="宋体"/>
          <w:sz w:val="28"/>
          <w:szCs w:val="28"/>
        </w:rPr>
        <w:t>（二)采购项目的技术（服务）需求</w:t>
      </w:r>
    </w:p>
    <w:p>
      <w:pPr>
        <w:jc w:val="center"/>
        <w:rPr>
          <w:sz w:val="36"/>
          <w:szCs w:val="36"/>
        </w:rPr>
      </w:pPr>
      <w:r>
        <w:rPr>
          <w:rFonts w:hint="eastAsia"/>
          <w:sz w:val="36"/>
          <w:szCs w:val="36"/>
        </w:rPr>
        <w:t>货物、服务采购清单</w:t>
      </w:r>
    </w:p>
    <w:tbl>
      <w:tblPr>
        <w:tblStyle w:val="7"/>
        <w:tblW w:w="8878" w:type="dxa"/>
        <w:tblInd w:w="-5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940"/>
        <w:gridCol w:w="2323"/>
        <w:gridCol w:w="690"/>
        <w:gridCol w:w="720"/>
        <w:gridCol w:w="862"/>
        <w:gridCol w:w="1043"/>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680"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编号</w:t>
            </w:r>
          </w:p>
        </w:tc>
        <w:tc>
          <w:tcPr>
            <w:tcW w:w="940" w:type="dxa"/>
            <w:noWrap/>
            <w:vAlign w:val="center"/>
          </w:tcPr>
          <w:p>
            <w:pPr>
              <w:widowControl/>
              <w:jc w:val="center"/>
              <w:rPr>
                <w:rFonts w:ascii="宋体" w:cs="宋体"/>
                <w:b/>
                <w:bCs/>
                <w:color w:val="000000"/>
                <w:kern w:val="0"/>
                <w:szCs w:val="21"/>
              </w:rPr>
            </w:pPr>
            <w:r>
              <w:rPr>
                <w:rFonts w:hint="eastAsia" w:ascii="宋体" w:hAnsi="宋体" w:cs="宋体"/>
                <w:b/>
                <w:bCs/>
                <w:color w:val="000000"/>
                <w:kern w:val="0"/>
                <w:szCs w:val="21"/>
              </w:rPr>
              <w:t>名称</w:t>
            </w:r>
          </w:p>
        </w:tc>
        <w:tc>
          <w:tcPr>
            <w:tcW w:w="2323" w:type="dxa"/>
            <w:noWrap/>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技术参数</w:t>
            </w:r>
          </w:p>
        </w:tc>
        <w:tc>
          <w:tcPr>
            <w:tcW w:w="690" w:type="dxa"/>
            <w:noWrap w:val="0"/>
            <w:vAlign w:val="center"/>
          </w:tcPr>
          <w:p>
            <w:pPr>
              <w:widowControl/>
              <w:jc w:val="center"/>
              <w:rPr>
                <w:rFonts w:ascii="宋体" w:cs="宋体"/>
                <w:b/>
                <w:bCs/>
                <w:color w:val="000000"/>
                <w:kern w:val="0"/>
                <w:szCs w:val="21"/>
              </w:rPr>
            </w:pPr>
            <w:r>
              <w:rPr>
                <w:rFonts w:hint="eastAsia" w:ascii="宋体" w:hAnsi="宋体" w:cs="宋体"/>
                <w:b/>
                <w:bCs/>
                <w:color w:val="000000"/>
                <w:kern w:val="0"/>
                <w:szCs w:val="21"/>
              </w:rPr>
              <w:t>单位</w:t>
            </w:r>
          </w:p>
        </w:tc>
        <w:tc>
          <w:tcPr>
            <w:tcW w:w="720" w:type="dxa"/>
            <w:noWrap/>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数量</w:t>
            </w:r>
          </w:p>
        </w:tc>
        <w:tc>
          <w:tcPr>
            <w:tcW w:w="862" w:type="dxa"/>
            <w:noWrap w:val="0"/>
            <w:vAlign w:val="center"/>
          </w:tcPr>
          <w:p>
            <w:pPr>
              <w:widowControl/>
              <w:jc w:val="center"/>
              <w:rPr>
                <w:rFonts w:hint="eastAsia" w:ascii="宋体" w:hAnsi="宋体" w:eastAsia="宋体" w:cs="宋体"/>
                <w:b/>
                <w:bCs/>
                <w:color w:val="000000"/>
                <w:kern w:val="0"/>
                <w:szCs w:val="21"/>
                <w:lang w:eastAsia="zh-CN"/>
              </w:rPr>
            </w:pPr>
            <w:r>
              <w:rPr>
                <w:rFonts w:hint="eastAsia" w:ascii="宋体" w:hAnsi="宋体" w:cs="宋体"/>
                <w:b/>
                <w:bCs/>
                <w:color w:val="000000"/>
                <w:kern w:val="0"/>
                <w:szCs w:val="21"/>
              </w:rPr>
              <w:t>单价</w:t>
            </w:r>
          </w:p>
        </w:tc>
        <w:tc>
          <w:tcPr>
            <w:tcW w:w="1043" w:type="dxa"/>
            <w:noWrap w:val="0"/>
            <w:vAlign w:val="center"/>
          </w:tcPr>
          <w:p>
            <w:pPr>
              <w:widowControl/>
              <w:jc w:val="center"/>
              <w:rPr>
                <w:rFonts w:hint="eastAsia" w:ascii="宋体" w:eastAsia="宋体" w:cs="宋体"/>
                <w:b/>
                <w:bCs/>
                <w:color w:val="000000"/>
                <w:kern w:val="0"/>
                <w:szCs w:val="21"/>
                <w:lang w:val="en-US" w:eastAsia="zh-CN"/>
              </w:rPr>
            </w:pPr>
            <w:r>
              <w:rPr>
                <w:rFonts w:hint="eastAsia" w:ascii="宋体" w:cs="宋体"/>
                <w:b/>
                <w:bCs/>
                <w:color w:val="000000"/>
                <w:kern w:val="0"/>
                <w:szCs w:val="21"/>
                <w:lang w:val="en-US" w:eastAsia="zh-CN"/>
              </w:rPr>
              <w:t>小计</w:t>
            </w:r>
          </w:p>
        </w:tc>
        <w:tc>
          <w:tcPr>
            <w:tcW w:w="1620" w:type="dxa"/>
            <w:noWrap w:val="0"/>
            <w:vAlign w:val="center"/>
          </w:tcPr>
          <w:p>
            <w:pPr>
              <w:widowControl/>
              <w:jc w:val="center"/>
              <w:rPr>
                <w:rFonts w:ascii="宋体" w:cs="宋体"/>
                <w:b/>
                <w:bCs/>
                <w:color w:val="000000"/>
                <w:kern w:val="0"/>
                <w:szCs w:val="21"/>
              </w:rPr>
            </w:pPr>
            <w:r>
              <w:rPr>
                <w:rFonts w:hint="eastAsia" w:ascii="宋体" w:hAnsi="宋体" w:cs="宋体"/>
                <w:b/>
                <w:bCs/>
                <w:color w:val="000000"/>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680" w:type="dxa"/>
            <w:noWrap w:val="0"/>
            <w:vAlign w:val="center"/>
          </w:tcPr>
          <w:p>
            <w:pPr>
              <w:widowControl/>
              <w:jc w:val="center"/>
              <w:rPr>
                <w:rFonts w:hint="eastAsia" w:ascii="宋体" w:eastAsia="宋体" w:cs="宋体"/>
                <w:color w:val="000000"/>
                <w:kern w:val="0"/>
                <w:sz w:val="22"/>
                <w:lang w:val="en-US" w:eastAsia="zh-CN"/>
              </w:rPr>
            </w:pPr>
            <w:r>
              <w:rPr>
                <w:rFonts w:hint="eastAsia" w:ascii="宋体" w:cs="宋体"/>
                <w:color w:val="000000"/>
                <w:kern w:val="0"/>
                <w:sz w:val="22"/>
                <w:lang w:val="en-US" w:eastAsia="zh-CN"/>
              </w:rPr>
              <w:t>1</w:t>
            </w:r>
          </w:p>
        </w:tc>
        <w:tc>
          <w:tcPr>
            <w:tcW w:w="940" w:type="dxa"/>
            <w:noWrap w:val="0"/>
            <w:vAlign w:val="center"/>
          </w:tcPr>
          <w:p>
            <w:pPr>
              <w:widowControl/>
              <w:jc w:val="center"/>
              <w:rPr>
                <w:rFonts w:hint="eastAsia" w:ascii="宋体" w:eastAsia="宋体" w:cs="宋体"/>
                <w:color w:val="000000"/>
                <w:kern w:val="0"/>
                <w:sz w:val="22"/>
                <w:lang w:eastAsia="zh-CN"/>
              </w:rPr>
            </w:pPr>
            <w:r>
              <w:rPr>
                <w:rFonts w:hint="eastAsia" w:ascii="宋体" w:cs="宋体"/>
                <w:color w:val="000000"/>
                <w:kern w:val="0"/>
                <w:sz w:val="22"/>
                <w:lang w:eastAsia="zh-CN"/>
              </w:rPr>
              <w:t>固态硬盘</w:t>
            </w:r>
          </w:p>
        </w:tc>
        <w:tc>
          <w:tcPr>
            <w:tcW w:w="2323" w:type="dxa"/>
            <w:noWrap w:val="0"/>
            <w:vAlign w:val="center"/>
          </w:tcPr>
          <w:p>
            <w:pPr>
              <w:jc w:val="left"/>
              <w:rPr>
                <w:rFonts w:hint="eastAsia"/>
                <w:highlight w:val="none"/>
                <w:vertAlign w:val="baseline"/>
              </w:rPr>
            </w:pPr>
            <w:r>
              <w:rPr>
                <w:rFonts w:hint="eastAsia"/>
                <w:highlight w:val="none"/>
                <w:vertAlign w:val="baseline"/>
              </w:rPr>
              <w:t>2.5英寸SATAIII接口固态硬盘</w:t>
            </w:r>
            <w:r>
              <w:rPr>
                <w:rFonts w:hint="eastAsia"/>
                <w:highlight w:val="none"/>
                <w:vertAlign w:val="baseline"/>
                <w:lang w:eastAsia="zh-CN"/>
              </w:rPr>
              <w:t>；</w:t>
            </w:r>
            <w:r>
              <w:rPr>
                <w:rFonts w:hint="eastAsia"/>
                <w:highlight w:val="none"/>
                <w:vertAlign w:val="baseline"/>
              </w:rPr>
              <w:t>存储容量：≥512GB(误差±5%)</w:t>
            </w:r>
            <w:r>
              <w:rPr>
                <w:rFonts w:hint="eastAsia"/>
                <w:highlight w:val="none"/>
                <w:vertAlign w:val="baseline"/>
                <w:lang w:eastAsia="zh-CN"/>
              </w:rPr>
              <w:t>；</w:t>
            </w:r>
            <w:r>
              <w:rPr>
                <w:rFonts w:hint="eastAsia"/>
                <w:highlight w:val="none"/>
                <w:vertAlign w:val="baseline"/>
              </w:rPr>
              <w:t>闪存类型：TLC三层单元</w:t>
            </w:r>
            <w:r>
              <w:rPr>
                <w:rFonts w:hint="eastAsia"/>
                <w:highlight w:val="none"/>
                <w:vertAlign w:val="baseline"/>
                <w:lang w:eastAsia="zh-CN"/>
              </w:rPr>
              <w:t>；</w:t>
            </w:r>
            <w:r>
              <w:rPr>
                <w:rFonts w:hint="eastAsia"/>
                <w:highlight w:val="none"/>
                <w:vertAlign w:val="baseline"/>
              </w:rPr>
              <w:t>连续读取速度：≥530MB/S</w:t>
            </w:r>
            <w:r>
              <w:rPr>
                <w:rFonts w:hint="eastAsia"/>
                <w:highlight w:val="none"/>
                <w:vertAlign w:val="baseline"/>
                <w:lang w:eastAsia="zh-CN"/>
              </w:rPr>
              <w:t>；</w:t>
            </w:r>
            <w:r>
              <w:rPr>
                <w:rFonts w:hint="eastAsia"/>
                <w:highlight w:val="none"/>
                <w:vertAlign w:val="baseline"/>
              </w:rPr>
              <w:t>连续写入速度：≥</w:t>
            </w:r>
            <w:r>
              <w:rPr>
                <w:rFonts w:hint="eastAsia"/>
                <w:highlight w:val="none"/>
                <w:vertAlign w:val="baseline"/>
                <w:lang w:val="en-US" w:eastAsia="zh-CN"/>
              </w:rPr>
              <w:t>5</w:t>
            </w:r>
            <w:r>
              <w:rPr>
                <w:rFonts w:hint="eastAsia"/>
                <w:highlight w:val="none"/>
                <w:vertAlign w:val="baseline"/>
              </w:rPr>
              <w:t>00MB/S</w:t>
            </w:r>
            <w:r>
              <w:rPr>
                <w:rFonts w:hint="eastAsia"/>
                <w:highlight w:val="none"/>
                <w:vertAlign w:val="baseline"/>
                <w:lang w:eastAsia="zh-CN"/>
              </w:rPr>
              <w:t>；</w:t>
            </w:r>
            <w:r>
              <w:rPr>
                <w:rFonts w:hint="eastAsia"/>
                <w:highlight w:val="none"/>
                <w:vertAlign w:val="baseline"/>
              </w:rPr>
              <w:t>工作温度：0-70℃</w:t>
            </w:r>
            <w:r>
              <w:rPr>
                <w:rFonts w:hint="eastAsia"/>
                <w:highlight w:val="none"/>
                <w:vertAlign w:val="baseline"/>
                <w:lang w:eastAsia="zh-CN"/>
              </w:rPr>
              <w:t>；</w:t>
            </w:r>
            <w:r>
              <w:rPr>
                <w:rFonts w:hint="eastAsia"/>
                <w:highlight w:val="none"/>
                <w:vertAlign w:val="baseline"/>
              </w:rPr>
              <w:t>兼容性：支持windows/Linux/macOS主流操作系统，通过SATA III 6Gbps接口兼容性测试。</w:t>
            </w:r>
          </w:p>
          <w:p>
            <w:pPr>
              <w:widowControl/>
              <w:jc w:val="left"/>
              <w:rPr>
                <w:rFonts w:ascii="宋体" w:cs="宋体"/>
                <w:color w:val="000000"/>
                <w:kern w:val="0"/>
                <w:sz w:val="16"/>
                <w:szCs w:val="16"/>
              </w:rPr>
            </w:pPr>
            <w:r>
              <w:rPr>
                <w:rFonts w:hint="eastAsia"/>
                <w:highlight w:val="none"/>
                <w:vertAlign w:val="baseline"/>
              </w:rPr>
              <w:t>可靠性：提供三年有限质保（含上门服务），支持TRIM指令及SMART健康检测功能。</w:t>
            </w:r>
            <w:r>
              <w:rPr>
                <w:rFonts w:ascii="仿宋" w:hAnsi="仿宋" w:eastAsia="仿宋" w:cs="宋体"/>
                <w:color w:val="000000"/>
                <w:szCs w:val="18"/>
              </w:rPr>
              <w:t xml:space="preserve">                                                              </w:t>
            </w:r>
            <w:r>
              <w:rPr>
                <w:rFonts w:ascii="宋体" w:hAnsi="宋体" w:cs="宋体"/>
                <w:color w:val="000000"/>
                <w:kern w:val="0"/>
                <w:sz w:val="16"/>
                <w:szCs w:val="16"/>
              </w:rPr>
              <w:t xml:space="preserve">                                                                                                                           </w:t>
            </w:r>
          </w:p>
        </w:tc>
        <w:tc>
          <w:tcPr>
            <w:tcW w:w="690" w:type="dxa"/>
            <w:noWrap w:val="0"/>
            <w:vAlign w:val="center"/>
          </w:tcPr>
          <w:p>
            <w:pPr>
              <w:widowControl/>
              <w:jc w:val="center"/>
              <w:rPr>
                <w:rFonts w:hint="eastAsia" w:ascii="宋体" w:eastAsia="宋体" w:cs="宋体"/>
                <w:color w:val="000000"/>
                <w:kern w:val="0"/>
                <w:sz w:val="22"/>
                <w:lang w:eastAsia="zh-CN"/>
              </w:rPr>
            </w:pPr>
            <w:r>
              <w:rPr>
                <w:rFonts w:hint="eastAsia" w:ascii="宋体" w:cs="宋体"/>
                <w:color w:val="000000"/>
                <w:kern w:val="0"/>
                <w:sz w:val="22"/>
                <w:lang w:eastAsia="zh-CN"/>
              </w:rPr>
              <w:t>个</w:t>
            </w:r>
          </w:p>
        </w:tc>
        <w:tc>
          <w:tcPr>
            <w:tcW w:w="720" w:type="dxa"/>
            <w:noWrap/>
            <w:vAlign w:val="center"/>
          </w:tcPr>
          <w:p>
            <w:pPr>
              <w:widowControl/>
              <w:jc w:val="center"/>
              <w:rPr>
                <w:rFonts w:hint="default" w:ascii="宋体" w:eastAsia="宋体" w:cs="宋体"/>
                <w:color w:val="000000"/>
                <w:kern w:val="0"/>
                <w:sz w:val="22"/>
                <w:lang w:val="en-US" w:eastAsia="zh-CN"/>
              </w:rPr>
            </w:pPr>
            <w:r>
              <w:rPr>
                <w:rFonts w:hint="eastAsia" w:ascii="宋体" w:cs="宋体"/>
                <w:color w:val="000000"/>
                <w:kern w:val="0"/>
                <w:sz w:val="22"/>
                <w:lang w:val="en-US" w:eastAsia="zh-CN"/>
              </w:rPr>
              <w:t>90</w:t>
            </w:r>
          </w:p>
        </w:tc>
        <w:tc>
          <w:tcPr>
            <w:tcW w:w="862" w:type="dxa"/>
            <w:noWrap w:val="0"/>
            <w:vAlign w:val="center"/>
          </w:tcPr>
          <w:p>
            <w:pPr>
              <w:widowControl/>
              <w:jc w:val="center"/>
              <w:rPr>
                <w:rFonts w:hint="default" w:ascii="宋体" w:eastAsia="宋体" w:cs="宋体"/>
                <w:color w:val="000000"/>
                <w:kern w:val="0"/>
                <w:sz w:val="22"/>
                <w:lang w:val="en-US" w:eastAsia="zh-CN"/>
              </w:rPr>
            </w:pPr>
          </w:p>
        </w:tc>
        <w:tc>
          <w:tcPr>
            <w:tcW w:w="1043" w:type="dxa"/>
            <w:noWrap w:val="0"/>
            <w:vAlign w:val="center"/>
          </w:tcPr>
          <w:p>
            <w:pPr>
              <w:widowControl/>
              <w:jc w:val="center"/>
              <w:rPr>
                <w:rFonts w:hint="default" w:ascii="宋体" w:eastAsia="宋体" w:cs="宋体"/>
                <w:color w:val="000000"/>
                <w:kern w:val="0"/>
                <w:sz w:val="22"/>
                <w:lang w:val="en-US" w:eastAsia="zh-CN"/>
              </w:rPr>
            </w:pPr>
            <w:bookmarkStart w:id="1" w:name="_GoBack"/>
            <w:bookmarkEnd w:id="1"/>
          </w:p>
        </w:tc>
        <w:tc>
          <w:tcPr>
            <w:tcW w:w="1620" w:type="dxa"/>
            <w:noWrap w:val="0"/>
            <w:vAlign w:val="center"/>
          </w:tcPr>
          <w:p>
            <w:pPr>
              <w:rPr>
                <w:rFonts w:hint="eastAsia"/>
              </w:rPr>
            </w:pPr>
            <w:r>
              <w:rPr>
                <w:rFonts w:hint="eastAsia"/>
              </w:rPr>
              <w:t>提供整个机房的整体网络改造服务。提供整个机房所有电脑</w:t>
            </w:r>
            <w:r>
              <w:rPr>
                <w:rFonts w:hint="eastAsia"/>
                <w:lang w:val="en-US" w:eastAsia="zh-CN"/>
              </w:rPr>
              <w:t>硬件检测服务，</w:t>
            </w:r>
            <w:r>
              <w:rPr>
                <w:rFonts w:hint="eastAsia"/>
              </w:rPr>
              <w:t>网络</w:t>
            </w:r>
            <w:r>
              <w:rPr>
                <w:rFonts w:hint="eastAsia"/>
                <w:lang w:val="en-US" w:eastAsia="zh-CN"/>
              </w:rPr>
              <w:t>维护</w:t>
            </w:r>
            <w:r>
              <w:rPr>
                <w:rFonts w:hint="eastAsia"/>
              </w:rPr>
              <w:t>及所需软件的部署</w:t>
            </w:r>
            <w:r>
              <w:rPr>
                <w:rFonts w:hint="eastAsia"/>
                <w:lang w:eastAsia="zh-CN"/>
              </w:rPr>
              <w:t>，</w:t>
            </w:r>
            <w:r>
              <w:rPr>
                <w:rFonts w:hint="eastAsia"/>
                <w:lang w:val="en-US" w:eastAsia="zh-CN"/>
              </w:rPr>
              <w:t>包括但不限于以下内容</w:t>
            </w:r>
            <w:r>
              <w:rPr>
                <w:rFonts w:hint="eastAsia"/>
                <w:lang w:eastAsia="zh-CN"/>
              </w:rPr>
              <w:t>（</w:t>
            </w:r>
            <w:r>
              <w:rPr>
                <w:rFonts w:hint="eastAsia"/>
                <w:lang w:val="en-US" w:eastAsia="zh-CN"/>
              </w:rPr>
              <w:t>硬盘安装、同传软件安装及部署、系统安装调试、教学软件安装及调试</w:t>
            </w:r>
            <w:r>
              <w:rPr>
                <w:rFonts w:hint="eastAsia"/>
                <w:lang w:eastAsia="zh-CN"/>
              </w:rPr>
              <w:t>）</w:t>
            </w:r>
            <w:r>
              <w:rPr>
                <w:rFonts w:hint="eastAsia"/>
              </w:rPr>
              <w:t>，需达到采购方的要求。</w:t>
            </w:r>
          </w:p>
          <w:p>
            <w:pPr>
              <w:pStyle w:val="3"/>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8" w:hRule="atLeast"/>
        </w:trPr>
        <w:tc>
          <w:tcPr>
            <w:tcW w:w="680" w:type="dxa"/>
            <w:noWrap w:val="0"/>
            <w:vAlign w:val="center"/>
          </w:tcPr>
          <w:p>
            <w:pPr>
              <w:widowControl/>
              <w:jc w:val="center"/>
              <w:rPr>
                <w:rFonts w:hint="eastAsia" w:ascii="宋体" w:eastAsia="宋体" w:cs="宋体"/>
                <w:color w:val="000000"/>
                <w:kern w:val="0"/>
                <w:sz w:val="22"/>
                <w:lang w:val="en-US" w:eastAsia="zh-CN"/>
              </w:rPr>
            </w:pPr>
            <w:r>
              <w:rPr>
                <w:rFonts w:hint="eastAsia" w:ascii="宋体" w:cs="宋体"/>
                <w:color w:val="000000"/>
                <w:kern w:val="0"/>
                <w:sz w:val="22"/>
                <w:lang w:val="en-US" w:eastAsia="zh-CN"/>
              </w:rPr>
              <w:t>2</w:t>
            </w:r>
          </w:p>
        </w:tc>
        <w:tc>
          <w:tcPr>
            <w:tcW w:w="940" w:type="dxa"/>
            <w:noWrap w:val="0"/>
            <w:vAlign w:val="center"/>
          </w:tcPr>
          <w:p>
            <w:pPr>
              <w:widowControl/>
              <w:jc w:val="center"/>
              <w:rPr>
                <w:rFonts w:hint="eastAsia" w:ascii="宋体" w:eastAsia="宋体" w:cs="宋体"/>
                <w:color w:val="000000"/>
                <w:kern w:val="0"/>
                <w:sz w:val="22"/>
                <w:lang w:eastAsia="zh-CN"/>
              </w:rPr>
            </w:pPr>
            <w:r>
              <w:rPr>
                <w:rFonts w:hint="eastAsia" w:ascii="宋体" w:cs="宋体"/>
                <w:color w:val="000000"/>
                <w:kern w:val="0"/>
                <w:sz w:val="22"/>
                <w:lang w:eastAsia="zh-CN"/>
              </w:rPr>
              <w:t>内存条（联想）</w:t>
            </w:r>
          </w:p>
        </w:tc>
        <w:tc>
          <w:tcPr>
            <w:tcW w:w="2323" w:type="dxa"/>
            <w:noWrap w:val="0"/>
            <w:vAlign w:val="center"/>
          </w:tcPr>
          <w:p>
            <w:pPr>
              <w:jc w:val="left"/>
              <w:rPr>
                <w:rFonts w:hint="eastAsia" w:eastAsia="宋体"/>
                <w:vertAlign w:val="baseline"/>
                <w:lang w:eastAsia="zh-CN"/>
              </w:rPr>
            </w:pPr>
            <w:r>
              <w:rPr>
                <w:rFonts w:hint="eastAsia"/>
                <w:vertAlign w:val="baseline"/>
              </w:rPr>
              <w:t>容量：</w:t>
            </w:r>
            <w:r>
              <w:rPr>
                <w:rFonts w:hint="eastAsia"/>
                <w:highlight w:val="none"/>
                <w:vertAlign w:val="baseline"/>
              </w:rPr>
              <w:t>≥</w:t>
            </w:r>
            <w:r>
              <w:rPr>
                <w:rFonts w:hint="eastAsia"/>
                <w:vertAlign w:val="baseline"/>
              </w:rPr>
              <w:t>8GB(单条）</w:t>
            </w:r>
            <w:r>
              <w:rPr>
                <w:rFonts w:hint="eastAsia"/>
                <w:vertAlign w:val="baseline"/>
                <w:lang w:eastAsia="zh-CN"/>
              </w:rPr>
              <w:t>；</w:t>
            </w:r>
          </w:p>
          <w:p>
            <w:pPr>
              <w:jc w:val="left"/>
              <w:rPr>
                <w:rFonts w:hint="eastAsia" w:eastAsia="宋体"/>
                <w:vertAlign w:val="baseline"/>
                <w:lang w:eastAsia="zh-CN"/>
              </w:rPr>
            </w:pPr>
            <w:r>
              <w:rPr>
                <w:rFonts w:hint="eastAsia"/>
                <w:vertAlign w:val="baseline"/>
              </w:rPr>
              <w:t>内存类型‌：DDR4</w:t>
            </w:r>
            <w:r>
              <w:rPr>
                <w:rFonts w:hint="eastAsia"/>
                <w:vertAlign w:val="baseline"/>
                <w:lang w:eastAsia="zh-CN"/>
              </w:rPr>
              <w:t>；</w:t>
            </w:r>
          </w:p>
          <w:p>
            <w:pPr>
              <w:jc w:val="left"/>
              <w:rPr>
                <w:rFonts w:hint="eastAsia" w:eastAsia="宋体"/>
                <w:vertAlign w:val="baseline"/>
                <w:lang w:eastAsia="zh-CN"/>
              </w:rPr>
            </w:pPr>
            <w:r>
              <w:rPr>
                <w:rFonts w:hint="eastAsia"/>
                <w:vertAlign w:val="baseline"/>
              </w:rPr>
              <w:t>频率‌：3200MHz</w:t>
            </w:r>
            <w:r>
              <w:rPr>
                <w:rFonts w:hint="eastAsia"/>
                <w:vertAlign w:val="baseline"/>
                <w:lang w:eastAsia="zh-CN"/>
              </w:rPr>
              <w:t>；</w:t>
            </w:r>
          </w:p>
          <w:p>
            <w:pPr>
              <w:jc w:val="left"/>
              <w:rPr>
                <w:rFonts w:hint="eastAsia"/>
                <w:vertAlign w:val="baseline"/>
              </w:rPr>
            </w:pPr>
            <w:r>
              <w:rPr>
                <w:rFonts w:hint="eastAsia"/>
                <w:vertAlign w:val="baseline"/>
              </w:rPr>
              <w:t>时序‌：CL1</w:t>
            </w:r>
            <w:r>
              <w:rPr>
                <w:rFonts w:hint="eastAsia"/>
                <w:vertAlign w:val="baseline"/>
                <w:lang w:val="en-US" w:eastAsia="zh-CN"/>
              </w:rPr>
              <w:t>9</w:t>
            </w:r>
            <w:r>
              <w:rPr>
                <w:rFonts w:hint="eastAsia"/>
                <w:vertAlign w:val="baseline"/>
                <w:lang w:eastAsia="zh-CN"/>
              </w:rPr>
              <w:t>；</w:t>
            </w:r>
            <w:r>
              <w:rPr>
                <w:rFonts w:hint="eastAsia"/>
                <w:vertAlign w:val="baseline"/>
              </w:rPr>
              <w:t>电压‌：1.2V（低功耗设计）‌</w:t>
            </w:r>
          </w:p>
          <w:p>
            <w:pPr>
              <w:jc w:val="left"/>
              <w:rPr>
                <w:rFonts w:hint="eastAsia"/>
                <w:vertAlign w:val="baseline"/>
              </w:rPr>
            </w:pPr>
            <w:r>
              <w:rPr>
                <w:rFonts w:hint="eastAsia"/>
                <w:vertAlign w:val="baseline"/>
              </w:rPr>
              <w:t>接口‌：288pin（DIMM）</w:t>
            </w:r>
          </w:p>
          <w:p>
            <w:pPr>
              <w:widowControl/>
              <w:jc w:val="left"/>
              <w:rPr>
                <w:rFonts w:hint="default" w:ascii="宋体" w:eastAsia="宋体" w:cs="宋体"/>
                <w:color w:val="000000"/>
                <w:kern w:val="0"/>
                <w:sz w:val="16"/>
                <w:szCs w:val="16"/>
                <w:lang w:val="en-US" w:eastAsia="zh-CN"/>
              </w:rPr>
            </w:pPr>
            <w:bookmarkStart w:id="0" w:name="OLE_LINK2"/>
            <w:r>
              <w:rPr>
                <w:rFonts w:hint="eastAsia"/>
                <w:vertAlign w:val="baseline"/>
                <w:lang w:eastAsia="zh-CN"/>
              </w:rPr>
              <w:t>提供厂家出具的检测报告，享受联想全国联保三年，</w:t>
            </w:r>
            <w:r>
              <w:rPr>
                <w:rFonts w:hint="eastAsia"/>
                <w:vertAlign w:val="baseline"/>
                <w:lang w:val="en-US" w:eastAsia="zh-CN"/>
              </w:rPr>
              <w:t>400官网可查</w:t>
            </w:r>
            <w:bookmarkEnd w:id="0"/>
            <w:r>
              <w:rPr>
                <w:rFonts w:hint="eastAsia"/>
                <w:vertAlign w:val="baseline"/>
                <w:lang w:val="en-US" w:eastAsia="zh-CN"/>
              </w:rPr>
              <w:t>。</w:t>
            </w:r>
          </w:p>
        </w:tc>
        <w:tc>
          <w:tcPr>
            <w:tcW w:w="690" w:type="dxa"/>
            <w:noWrap w:val="0"/>
            <w:vAlign w:val="center"/>
          </w:tcPr>
          <w:p>
            <w:pPr>
              <w:widowControl/>
              <w:jc w:val="center"/>
              <w:rPr>
                <w:rFonts w:hint="eastAsia" w:ascii="宋体" w:eastAsia="宋体" w:cs="宋体"/>
                <w:color w:val="000000"/>
                <w:kern w:val="0"/>
                <w:sz w:val="22"/>
                <w:lang w:eastAsia="zh-CN"/>
              </w:rPr>
            </w:pPr>
            <w:r>
              <w:rPr>
                <w:rFonts w:hint="eastAsia" w:ascii="宋体" w:cs="宋体"/>
                <w:color w:val="000000"/>
                <w:kern w:val="0"/>
                <w:sz w:val="22"/>
                <w:lang w:eastAsia="zh-CN"/>
              </w:rPr>
              <w:t>根</w:t>
            </w:r>
          </w:p>
        </w:tc>
        <w:tc>
          <w:tcPr>
            <w:tcW w:w="720" w:type="dxa"/>
            <w:noWrap/>
            <w:vAlign w:val="center"/>
          </w:tcPr>
          <w:p>
            <w:pPr>
              <w:widowControl/>
              <w:jc w:val="center"/>
              <w:rPr>
                <w:rFonts w:hint="default" w:ascii="宋体" w:eastAsia="宋体" w:cs="宋体"/>
                <w:color w:val="000000"/>
                <w:kern w:val="0"/>
                <w:sz w:val="22"/>
                <w:lang w:val="en-US" w:eastAsia="zh-CN"/>
              </w:rPr>
            </w:pPr>
            <w:r>
              <w:rPr>
                <w:rFonts w:hint="eastAsia" w:ascii="宋体" w:cs="宋体"/>
                <w:color w:val="000000"/>
                <w:kern w:val="0"/>
                <w:sz w:val="22"/>
                <w:lang w:val="en-US" w:eastAsia="zh-CN"/>
              </w:rPr>
              <w:t>90</w:t>
            </w:r>
          </w:p>
        </w:tc>
        <w:tc>
          <w:tcPr>
            <w:tcW w:w="862" w:type="dxa"/>
            <w:noWrap w:val="0"/>
            <w:vAlign w:val="center"/>
          </w:tcPr>
          <w:p>
            <w:pPr>
              <w:widowControl/>
              <w:jc w:val="center"/>
              <w:rPr>
                <w:rFonts w:hint="default" w:ascii="宋体" w:eastAsia="宋体" w:cs="宋体"/>
                <w:color w:val="000000"/>
                <w:kern w:val="0"/>
                <w:sz w:val="22"/>
                <w:lang w:val="en-US" w:eastAsia="zh-CN"/>
              </w:rPr>
            </w:pPr>
          </w:p>
        </w:tc>
        <w:tc>
          <w:tcPr>
            <w:tcW w:w="1043" w:type="dxa"/>
            <w:noWrap w:val="0"/>
            <w:vAlign w:val="center"/>
          </w:tcPr>
          <w:p>
            <w:pPr>
              <w:widowControl/>
              <w:jc w:val="center"/>
              <w:rPr>
                <w:rFonts w:hint="default" w:ascii="宋体" w:eastAsia="宋体" w:cs="宋体"/>
                <w:color w:val="000000"/>
                <w:kern w:val="0"/>
                <w:sz w:val="22"/>
                <w:lang w:val="en-US" w:eastAsia="zh-CN"/>
              </w:rPr>
            </w:pPr>
          </w:p>
        </w:tc>
        <w:tc>
          <w:tcPr>
            <w:tcW w:w="1620" w:type="dxa"/>
            <w:noWrap w:val="0"/>
            <w:vAlign w:val="center"/>
          </w:tcPr>
          <w:p>
            <w:pPr>
              <w:rPr>
                <w:rFonts w:hint="eastAsia"/>
              </w:rPr>
            </w:pPr>
            <w:r>
              <w:rPr>
                <w:rFonts w:hint="eastAsia"/>
              </w:rPr>
              <w:t>提供整个机房的整体网络改造服务。提供整个机房所有电脑</w:t>
            </w:r>
            <w:r>
              <w:rPr>
                <w:rFonts w:hint="eastAsia"/>
                <w:lang w:val="en-US" w:eastAsia="zh-CN"/>
              </w:rPr>
              <w:t>硬件检测服务，</w:t>
            </w:r>
            <w:r>
              <w:rPr>
                <w:rFonts w:hint="eastAsia"/>
              </w:rPr>
              <w:t>网络</w:t>
            </w:r>
            <w:r>
              <w:rPr>
                <w:rFonts w:hint="eastAsia"/>
                <w:lang w:val="en-US" w:eastAsia="zh-CN"/>
              </w:rPr>
              <w:t>维护</w:t>
            </w:r>
            <w:r>
              <w:rPr>
                <w:rFonts w:hint="eastAsia"/>
              </w:rPr>
              <w:t>及所需软件的部署</w:t>
            </w:r>
            <w:r>
              <w:rPr>
                <w:rFonts w:hint="eastAsia"/>
                <w:lang w:eastAsia="zh-CN"/>
              </w:rPr>
              <w:t>，</w:t>
            </w:r>
            <w:r>
              <w:rPr>
                <w:rFonts w:hint="eastAsia"/>
                <w:lang w:val="en-US" w:eastAsia="zh-CN"/>
              </w:rPr>
              <w:t>包括但不限于以下内容</w:t>
            </w:r>
            <w:r>
              <w:rPr>
                <w:rFonts w:hint="eastAsia"/>
                <w:lang w:eastAsia="zh-CN"/>
              </w:rPr>
              <w:t>（</w:t>
            </w:r>
            <w:r>
              <w:rPr>
                <w:rFonts w:hint="eastAsia"/>
                <w:lang w:val="en-US" w:eastAsia="zh-CN"/>
              </w:rPr>
              <w:t>硬盘安装、同传软件安装及部署、系统安装调试、教学软件安装及调试</w:t>
            </w:r>
            <w:r>
              <w:rPr>
                <w:rFonts w:hint="eastAsia"/>
                <w:lang w:eastAsia="zh-CN"/>
              </w:rPr>
              <w:t>）</w:t>
            </w:r>
            <w:r>
              <w:rPr>
                <w:rFonts w:hint="eastAsia"/>
              </w:rPr>
              <w:t>，需达到采购方的要求。</w:t>
            </w:r>
          </w:p>
          <w:p>
            <w:pPr>
              <w:jc w:val="center"/>
              <w:rPr>
                <w:rFonts w:asci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7"/>
          <w:wAfter w:w="8198" w:type="dxa"/>
          <w:trHeight w:val="416" w:hRule="atLeast"/>
        </w:trPr>
        <w:tc>
          <w:tcPr>
            <w:tcW w:w="680" w:type="dxa"/>
            <w:noWrap w:val="0"/>
            <w:vAlign w:val="top"/>
          </w:tcPr>
          <w:p>
            <w:pPr>
              <w:pStyle w:val="3"/>
              <w:rPr>
                <w:rFonts w:hint="eastAsia" w:eastAsia="宋体"/>
                <w:lang w:val="en-US" w:eastAsia="zh-CN"/>
              </w:rPr>
            </w:pPr>
            <w:r>
              <w:rPr>
                <w:rFonts w:hint="eastAsia"/>
                <w:lang w:val="en-US" w:eastAsia="zh-CN"/>
              </w:rPr>
              <w:t>合计</w:t>
            </w:r>
          </w:p>
        </w:tc>
      </w:tr>
    </w:tbl>
    <w:p>
      <w:pPr>
        <w:pStyle w:val="4"/>
        <w:spacing w:line="400" w:lineRule="exact"/>
        <w:rPr>
          <w:rFonts w:hint="eastAsia" w:hAnsi="宋体" w:cs="宋体"/>
          <w:sz w:val="28"/>
          <w:szCs w:val="28"/>
        </w:rPr>
      </w:pPr>
    </w:p>
    <w:p>
      <w:pPr>
        <w:pStyle w:val="4"/>
        <w:spacing w:line="400" w:lineRule="exact"/>
        <w:rPr>
          <w:rFonts w:hint="eastAsia" w:hAnsi="宋体" w:cs="宋体"/>
          <w:sz w:val="28"/>
          <w:szCs w:val="28"/>
        </w:rPr>
      </w:pPr>
      <w:r>
        <w:rPr>
          <w:rFonts w:hint="eastAsia" w:hAnsi="宋体" w:cs="宋体"/>
          <w:sz w:val="28"/>
          <w:szCs w:val="28"/>
        </w:rPr>
        <w:t>（三）服务要求</w:t>
      </w:r>
    </w:p>
    <w:p>
      <w:pPr>
        <w:pStyle w:val="4"/>
        <w:spacing w:line="400" w:lineRule="exact"/>
        <w:rPr>
          <w:rFonts w:hint="eastAsia" w:hAnsi="宋体" w:cs="宋体"/>
          <w:sz w:val="28"/>
          <w:szCs w:val="28"/>
        </w:rPr>
      </w:pPr>
      <w:r>
        <w:rPr>
          <w:rFonts w:hint="eastAsia" w:hAnsi="宋体" w:cs="宋体"/>
          <w:sz w:val="28"/>
          <w:szCs w:val="28"/>
        </w:rPr>
        <w:t>（1）、售后服务要求</w:t>
      </w:r>
    </w:p>
    <w:p>
      <w:pPr>
        <w:pStyle w:val="4"/>
        <w:spacing w:line="400" w:lineRule="exact"/>
        <w:ind w:firstLine="560" w:firstLineChars="200"/>
        <w:rPr>
          <w:rFonts w:hint="default" w:hAnsi="宋体" w:cs="宋体"/>
          <w:color w:val="00B0F0"/>
          <w:sz w:val="28"/>
          <w:szCs w:val="28"/>
          <w:lang w:val="en-US" w:eastAsia="zh-CN"/>
        </w:rPr>
      </w:pPr>
      <w:r>
        <w:rPr>
          <w:rFonts w:hint="eastAsia" w:hAnsi="宋体" w:cs="宋体"/>
          <w:sz w:val="28"/>
          <w:szCs w:val="28"/>
          <w:lang w:val="en-US" w:eastAsia="zh-CN"/>
        </w:rPr>
        <w:t>售后服务时间：设备硬件质保期为 3 年（验收合格之日起计），维护期（质保期）内中标人应向用户免费提供软件接口和在硬件许可条件下的软件升级服务。质保期外，供应商应继续提供优质服务。</w:t>
      </w:r>
      <w:r>
        <w:rPr>
          <w:rFonts w:hint="eastAsia" w:hAnsi="宋体" w:cs="宋体"/>
          <w:color w:val="00B0F0"/>
          <w:sz w:val="28"/>
          <w:szCs w:val="28"/>
          <w:lang w:val="en-US" w:eastAsia="zh-CN"/>
        </w:rPr>
        <w:t xml:space="preserve">                </w:t>
      </w:r>
    </w:p>
    <w:p>
      <w:pPr>
        <w:pStyle w:val="4"/>
        <w:spacing w:line="400" w:lineRule="exact"/>
        <w:ind w:firstLine="560" w:firstLineChars="200"/>
        <w:rPr>
          <w:rFonts w:hint="default" w:hAnsi="宋体" w:cs="宋体"/>
          <w:color w:val="00B0F0"/>
          <w:sz w:val="28"/>
          <w:szCs w:val="28"/>
          <w:lang w:val="en-US" w:eastAsia="zh-CN"/>
        </w:rPr>
      </w:pPr>
      <w:r>
        <w:rPr>
          <w:rFonts w:hint="eastAsia" w:hAnsi="宋体" w:cs="宋体"/>
          <w:sz w:val="28"/>
          <w:szCs w:val="28"/>
          <w:lang w:val="en-US" w:eastAsia="zh-CN"/>
        </w:rPr>
        <w:t>详细售后服务内容：质保期内所有服务及配件全部免费，出现故障的货物供应商应迅速修复或更换并承担由此所发生的全部费用，其中试用期间货物出现重大质量问题直接更换。</w:t>
      </w:r>
      <w:r>
        <w:rPr>
          <w:rFonts w:hint="eastAsia" w:hAnsi="宋体" w:cs="宋体"/>
          <w:color w:val="00B0F0"/>
          <w:sz w:val="28"/>
          <w:szCs w:val="28"/>
          <w:lang w:val="en-US" w:eastAsia="zh-CN"/>
        </w:rPr>
        <w:t xml:space="preserve">                </w:t>
      </w:r>
    </w:p>
    <w:p>
      <w:pPr>
        <w:pStyle w:val="4"/>
        <w:numPr>
          <w:ilvl w:val="0"/>
          <w:numId w:val="1"/>
        </w:numPr>
        <w:spacing w:line="400" w:lineRule="exact"/>
        <w:rPr>
          <w:rFonts w:hint="eastAsia" w:hAnsi="宋体" w:cs="宋体"/>
          <w:sz w:val="28"/>
          <w:szCs w:val="28"/>
        </w:rPr>
      </w:pPr>
      <w:r>
        <w:rPr>
          <w:rFonts w:hint="eastAsia" w:hAnsi="宋体" w:cs="宋体"/>
          <w:sz w:val="28"/>
          <w:szCs w:val="28"/>
        </w:rPr>
        <w:t>、交货时间及地点，付款方式</w:t>
      </w:r>
    </w:p>
    <w:p>
      <w:pPr>
        <w:pStyle w:val="4"/>
        <w:numPr>
          <w:ilvl w:val="0"/>
          <w:numId w:val="0"/>
        </w:numPr>
        <w:spacing w:line="400" w:lineRule="exact"/>
        <w:ind w:firstLine="560" w:firstLineChars="200"/>
        <w:rPr>
          <w:rFonts w:hint="default" w:hAnsi="宋体" w:cs="宋体"/>
          <w:color w:val="00B0F0"/>
          <w:sz w:val="28"/>
          <w:szCs w:val="28"/>
          <w:lang w:val="en-US" w:eastAsia="zh-CN"/>
        </w:rPr>
      </w:pPr>
      <w:r>
        <w:rPr>
          <w:rFonts w:hint="eastAsia" w:hAnsi="宋体" w:cs="宋体"/>
          <w:sz w:val="28"/>
          <w:szCs w:val="28"/>
          <w:lang w:val="en-US" w:eastAsia="zh-CN"/>
        </w:rPr>
        <w:t>交货时间： 合同签订后的20天内。</w:t>
      </w:r>
      <w:r>
        <w:rPr>
          <w:rFonts w:hint="eastAsia" w:hAnsi="宋体" w:cs="宋体"/>
          <w:color w:val="00B0F0"/>
          <w:sz w:val="28"/>
          <w:szCs w:val="28"/>
          <w:lang w:val="en-US" w:eastAsia="zh-CN"/>
        </w:rPr>
        <w:t xml:space="preserve">                       </w:t>
      </w:r>
    </w:p>
    <w:p>
      <w:pPr>
        <w:pStyle w:val="4"/>
        <w:numPr>
          <w:ilvl w:val="0"/>
          <w:numId w:val="0"/>
        </w:numPr>
        <w:spacing w:line="400" w:lineRule="exact"/>
        <w:ind w:firstLine="560" w:firstLineChars="200"/>
        <w:rPr>
          <w:rFonts w:hint="default" w:hAnsi="宋体" w:cs="宋体"/>
          <w:color w:val="00B0F0"/>
          <w:sz w:val="28"/>
          <w:szCs w:val="28"/>
          <w:lang w:val="en-US" w:eastAsia="zh-CN"/>
        </w:rPr>
      </w:pPr>
      <w:r>
        <w:rPr>
          <w:rFonts w:hint="eastAsia" w:hAnsi="宋体" w:cs="宋体"/>
          <w:sz w:val="28"/>
          <w:szCs w:val="28"/>
          <w:lang w:val="en-US" w:eastAsia="zh-CN"/>
        </w:rPr>
        <w:t>交货地点：</w:t>
      </w:r>
      <w:r>
        <w:rPr>
          <w:rFonts w:hint="eastAsia" w:hAnsi="宋体" w:cs="宋体"/>
          <w:color w:val="00B0F0"/>
          <w:sz w:val="28"/>
          <w:szCs w:val="28"/>
          <w:lang w:val="en-US" w:eastAsia="zh-CN"/>
        </w:rPr>
        <w:t xml:space="preserve"> </w:t>
      </w:r>
      <w:r>
        <w:rPr>
          <w:rFonts w:hint="eastAsia" w:hAnsi="宋体" w:cs="宋体"/>
          <w:color w:val="000000" w:themeColor="text1"/>
          <w:sz w:val="28"/>
          <w:szCs w:val="28"/>
          <w:lang w:val="en-US" w:eastAsia="zh-CN"/>
          <w14:textFill>
            <w14:solidFill>
              <w14:schemeClr w14:val="tx1"/>
            </w14:solidFill>
          </w14:textFill>
        </w:rPr>
        <w:t>西昌学院计算机设计与仿真实训室</w:t>
      </w:r>
      <w:r>
        <w:rPr>
          <w:rFonts w:hint="eastAsia" w:hAnsi="宋体" w:cs="宋体"/>
          <w:color w:val="00B0F0"/>
          <w:sz w:val="28"/>
          <w:szCs w:val="28"/>
          <w:lang w:val="en-US" w:eastAsia="zh-CN"/>
        </w:rPr>
        <w:t xml:space="preserve">                           </w:t>
      </w:r>
    </w:p>
    <w:p>
      <w:pPr>
        <w:pStyle w:val="4"/>
        <w:numPr>
          <w:ilvl w:val="0"/>
          <w:numId w:val="0"/>
        </w:numPr>
        <w:spacing w:line="400" w:lineRule="exact"/>
        <w:ind w:firstLine="560" w:firstLineChars="200"/>
        <w:rPr>
          <w:rFonts w:hint="default" w:hAnsi="宋体" w:cs="宋体"/>
          <w:color w:val="00B0F0"/>
          <w:sz w:val="28"/>
          <w:szCs w:val="28"/>
          <w:lang w:val="en-US" w:eastAsia="zh-CN"/>
        </w:rPr>
      </w:pPr>
      <w:r>
        <w:rPr>
          <w:rFonts w:hint="eastAsia" w:hAnsi="宋体" w:cs="宋体"/>
          <w:sz w:val="28"/>
          <w:szCs w:val="28"/>
          <w:lang w:val="en-US" w:eastAsia="zh-CN"/>
        </w:rPr>
        <w:t xml:space="preserve">付款条件： </w:t>
      </w:r>
      <w:r>
        <w:rPr>
          <w:rFonts w:hint="eastAsia" w:hAnsi="宋体" w:cs="宋体"/>
          <w:color w:val="000000" w:themeColor="text1"/>
          <w:sz w:val="28"/>
          <w:szCs w:val="28"/>
          <w:lang w:val="en-US" w:eastAsia="zh-CN"/>
          <w14:textFill>
            <w14:solidFill>
              <w14:schemeClr w14:val="tx1"/>
            </w14:solidFill>
          </w14:textFill>
        </w:rPr>
        <w:t>全部货物安装调试完毕并验收合格</w:t>
      </w:r>
      <w:r>
        <w:rPr>
          <w:rFonts w:hint="eastAsia" w:hAnsi="宋体" w:cs="宋体"/>
          <w:color w:val="00B0F0"/>
          <w:sz w:val="28"/>
          <w:szCs w:val="28"/>
          <w:lang w:val="en-US" w:eastAsia="zh-CN"/>
        </w:rPr>
        <w:t xml:space="preserve">                             </w:t>
      </w:r>
    </w:p>
    <w:p>
      <w:pPr>
        <w:pStyle w:val="4"/>
        <w:numPr>
          <w:ilvl w:val="0"/>
          <w:numId w:val="0"/>
        </w:numPr>
        <w:spacing w:line="400" w:lineRule="exact"/>
        <w:ind w:firstLine="560" w:firstLineChars="200"/>
        <w:rPr>
          <w:rFonts w:hint="default" w:hAnsi="宋体" w:cs="宋体"/>
          <w:color w:val="00B0F0"/>
          <w:sz w:val="28"/>
          <w:szCs w:val="28"/>
          <w:lang w:val="en-US" w:eastAsia="zh-CN"/>
        </w:rPr>
      </w:pPr>
      <w:r>
        <w:rPr>
          <w:rFonts w:hint="eastAsia" w:hAnsi="宋体" w:cs="宋体"/>
          <w:sz w:val="28"/>
          <w:szCs w:val="28"/>
          <w:lang w:val="en-US" w:eastAsia="zh-CN"/>
        </w:rPr>
        <w:t>付款时间：</w:t>
      </w:r>
      <w:r>
        <w:rPr>
          <w:rFonts w:hint="eastAsia" w:hAnsi="宋体" w:cs="宋体"/>
          <w:color w:val="00B0F0"/>
          <w:sz w:val="28"/>
          <w:szCs w:val="28"/>
          <w:lang w:val="en-US" w:eastAsia="zh-CN"/>
        </w:rPr>
        <w:t xml:space="preserve"> </w:t>
      </w:r>
      <w:r>
        <w:rPr>
          <w:rFonts w:hint="eastAsia" w:hAnsi="宋体" w:cs="宋体"/>
          <w:color w:val="000000" w:themeColor="text1"/>
          <w:sz w:val="28"/>
          <w:szCs w:val="28"/>
          <w:lang w:val="en-US" w:eastAsia="zh-CN"/>
          <w14:textFill>
            <w14:solidFill>
              <w14:schemeClr w14:val="tx1"/>
            </w14:solidFill>
          </w14:textFill>
        </w:rPr>
        <w:t xml:space="preserve">甲方收到乙方票据凭证资料并完成学校内部财务支付审批流程且在甲方预算下达具备财政支付条件之日起20个工作日内向乙方支付合同价款。     </w:t>
      </w:r>
      <w:r>
        <w:rPr>
          <w:rFonts w:hint="eastAsia" w:hAnsi="宋体" w:cs="宋体"/>
          <w:color w:val="00B0F0"/>
          <w:sz w:val="28"/>
          <w:szCs w:val="28"/>
          <w:lang w:val="en-US" w:eastAsia="zh-CN"/>
        </w:rPr>
        <w:t xml:space="preserve">                                                             </w:t>
      </w:r>
    </w:p>
    <w:p>
      <w:pPr>
        <w:pStyle w:val="4"/>
        <w:numPr>
          <w:numId w:val="0"/>
        </w:numPr>
        <w:spacing w:line="400" w:lineRule="exact"/>
        <w:rPr>
          <w:rFonts w:hint="default" w:hAnsi="宋体" w:eastAsia="宋体" w:cs="宋体"/>
          <w:sz w:val="28"/>
          <w:szCs w:val="28"/>
          <w:lang w:val="en-US" w:eastAsia="zh-CN"/>
        </w:rPr>
      </w:pPr>
      <w:r>
        <w:rPr>
          <w:rFonts w:hint="eastAsia" w:hAnsi="宋体" w:cs="宋体"/>
          <w:color w:val="00B0F0"/>
          <w:sz w:val="28"/>
          <w:szCs w:val="28"/>
          <w:lang w:val="en-US" w:eastAsia="zh-CN"/>
        </w:rPr>
        <w:t xml:space="preserve">                                       </w:t>
      </w:r>
    </w:p>
    <w:p>
      <w:pPr>
        <w:pStyle w:val="4"/>
        <w:numPr>
          <w:numId w:val="0"/>
        </w:numPr>
        <w:spacing w:line="400" w:lineRule="exact"/>
        <w:ind w:leftChars="0"/>
        <w:rPr>
          <w:rFonts w:hint="eastAsia" w:hAnsi="宋体" w:cs="宋体"/>
          <w:color w:val="FF0000"/>
          <w:sz w:val="21"/>
          <w:szCs w:val="21"/>
          <w:lang w:val="en-US" w:eastAsia="zh-CN"/>
        </w:rPr>
      </w:pPr>
      <w:r>
        <w:rPr>
          <w:rFonts w:hint="eastAsia" w:hAnsi="宋体" w:cs="宋体"/>
          <w:sz w:val="28"/>
          <w:szCs w:val="28"/>
          <w:lang w:eastAsia="zh-CN"/>
        </w:rPr>
        <w:t>（</w:t>
      </w:r>
      <w:r>
        <w:rPr>
          <w:rFonts w:hint="eastAsia" w:hAnsi="宋体" w:cs="宋体"/>
          <w:sz w:val="28"/>
          <w:szCs w:val="28"/>
          <w:lang w:val="en-US" w:eastAsia="zh-CN"/>
        </w:rPr>
        <w:t>四</w:t>
      </w:r>
      <w:r>
        <w:rPr>
          <w:rFonts w:hint="eastAsia" w:hAnsi="宋体" w:cs="宋体"/>
          <w:sz w:val="28"/>
          <w:szCs w:val="28"/>
          <w:lang w:eastAsia="zh-CN"/>
        </w:rPr>
        <w:t>）</w:t>
      </w:r>
      <w:r>
        <w:rPr>
          <w:rFonts w:hint="eastAsia" w:hAnsi="宋体" w:cs="宋体"/>
          <w:sz w:val="28"/>
          <w:szCs w:val="28"/>
        </w:rPr>
        <w:t>需明确体现满足需求、质量和服务相等的采购项目实质性要求</w:t>
      </w:r>
    </w:p>
    <w:p>
      <w:pPr>
        <w:pStyle w:val="4"/>
        <w:numPr>
          <w:ilvl w:val="0"/>
          <w:numId w:val="0"/>
        </w:numPr>
        <w:spacing w:line="400" w:lineRule="exact"/>
        <w:rPr>
          <w:rFonts w:hint="eastAsia" w:hAnsi="宋体" w:cs="宋体"/>
          <w:sz w:val="28"/>
          <w:szCs w:val="28"/>
        </w:rPr>
      </w:pPr>
      <w:r>
        <w:rPr>
          <w:rFonts w:hint="eastAsia" w:hAnsi="宋体" w:cs="宋体"/>
          <w:sz w:val="28"/>
          <w:szCs w:val="28"/>
          <w:lang w:val="en-US" w:eastAsia="zh-CN"/>
        </w:rPr>
        <w:t xml:space="preserve">  </w:t>
      </w:r>
      <w:r>
        <w:rPr>
          <w:rFonts w:hint="eastAsia" w:hAnsi="宋体" w:cs="宋体"/>
          <w:color w:val="00B0F0"/>
          <w:sz w:val="28"/>
          <w:szCs w:val="28"/>
          <w:lang w:val="en-US" w:eastAsia="zh-CN"/>
        </w:rPr>
        <w:t xml:space="preserve">   </w:t>
      </w:r>
      <w:r>
        <w:rPr>
          <w:rFonts w:hint="eastAsia" w:hAnsi="宋体" w:cs="宋体"/>
          <w:color w:val="000000" w:themeColor="text1"/>
          <w:sz w:val="28"/>
          <w:szCs w:val="28"/>
          <w:lang w:val="en-US" w:eastAsia="zh-CN"/>
          <w14:textFill>
            <w14:solidFill>
              <w14:schemeClr w14:val="tx1"/>
            </w14:solidFill>
          </w14:textFill>
        </w:rPr>
        <w:t xml:space="preserve"> 固态硬盘：存储容量：≥512GB(误差±5%)； 内存条（联想）容量：≥8GB(单条）；内存类型‌：DDR4。</w:t>
      </w:r>
      <w:r>
        <w:rPr>
          <w:rFonts w:hint="eastAsia" w:hAnsi="宋体" w:cs="宋体"/>
          <w:color w:val="00B0F0"/>
          <w:sz w:val="28"/>
          <w:szCs w:val="28"/>
          <w:lang w:val="en-US" w:eastAsia="zh-CN"/>
        </w:rPr>
        <w:t xml:space="preserve">                                    </w:t>
      </w:r>
    </w:p>
    <w:sectPr>
      <w:pgSz w:w="11906" w:h="16838"/>
      <w:pgMar w:top="1440" w:right="1752" w:bottom="1440" w:left="17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2"/>
    <w:family w:val="auto"/>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D927FD3"/>
    <w:multiLevelType w:val="singleLevel"/>
    <w:tmpl w:val="6D927FD3"/>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zYzY4NDYyYjA1MjM5MjEzZWNkMzFiMWNjN2VjM2IifQ=="/>
    <w:docVar w:name="KSO_WPS_MARK_KEY" w:val="8ab212b9-c397-4c30-a269-7f20c1e4e220"/>
  </w:docVars>
  <w:rsids>
    <w:rsidRoot w:val="00A71F17"/>
    <w:rsid w:val="00024B2D"/>
    <w:rsid w:val="00030737"/>
    <w:rsid w:val="000610E5"/>
    <w:rsid w:val="00096E31"/>
    <w:rsid w:val="000B1F95"/>
    <w:rsid w:val="000B358A"/>
    <w:rsid w:val="000C260F"/>
    <w:rsid w:val="000D37AA"/>
    <w:rsid w:val="000E4E69"/>
    <w:rsid w:val="000F1251"/>
    <w:rsid w:val="001066AF"/>
    <w:rsid w:val="00122B9B"/>
    <w:rsid w:val="00136813"/>
    <w:rsid w:val="0013797C"/>
    <w:rsid w:val="00182C6B"/>
    <w:rsid w:val="001C467D"/>
    <w:rsid w:val="001C5428"/>
    <w:rsid w:val="001C7948"/>
    <w:rsid w:val="001F1B7B"/>
    <w:rsid w:val="001F2345"/>
    <w:rsid w:val="00240136"/>
    <w:rsid w:val="00265278"/>
    <w:rsid w:val="002A2B96"/>
    <w:rsid w:val="002B5F46"/>
    <w:rsid w:val="00304272"/>
    <w:rsid w:val="00313C73"/>
    <w:rsid w:val="00335EC6"/>
    <w:rsid w:val="00356A06"/>
    <w:rsid w:val="00364FD0"/>
    <w:rsid w:val="00376A6E"/>
    <w:rsid w:val="0037786D"/>
    <w:rsid w:val="00456F11"/>
    <w:rsid w:val="00465948"/>
    <w:rsid w:val="00477518"/>
    <w:rsid w:val="00505EC0"/>
    <w:rsid w:val="005415E6"/>
    <w:rsid w:val="00562D87"/>
    <w:rsid w:val="00571B79"/>
    <w:rsid w:val="005B4317"/>
    <w:rsid w:val="005C0846"/>
    <w:rsid w:val="005C2E43"/>
    <w:rsid w:val="005E0B36"/>
    <w:rsid w:val="005E4BCE"/>
    <w:rsid w:val="005E744B"/>
    <w:rsid w:val="00635C5C"/>
    <w:rsid w:val="0065662C"/>
    <w:rsid w:val="00674E0C"/>
    <w:rsid w:val="006D1EB3"/>
    <w:rsid w:val="006D3B2A"/>
    <w:rsid w:val="00704B07"/>
    <w:rsid w:val="007118DD"/>
    <w:rsid w:val="00712542"/>
    <w:rsid w:val="00767D65"/>
    <w:rsid w:val="00773375"/>
    <w:rsid w:val="0078058F"/>
    <w:rsid w:val="0079679C"/>
    <w:rsid w:val="007A054A"/>
    <w:rsid w:val="007A772E"/>
    <w:rsid w:val="007E233E"/>
    <w:rsid w:val="007F444D"/>
    <w:rsid w:val="007F76A2"/>
    <w:rsid w:val="00804F21"/>
    <w:rsid w:val="00847776"/>
    <w:rsid w:val="008700F9"/>
    <w:rsid w:val="00887A9C"/>
    <w:rsid w:val="008C0DB1"/>
    <w:rsid w:val="008D0123"/>
    <w:rsid w:val="008E6803"/>
    <w:rsid w:val="00922FA7"/>
    <w:rsid w:val="00945719"/>
    <w:rsid w:val="00945A62"/>
    <w:rsid w:val="009C1BCD"/>
    <w:rsid w:val="009C4612"/>
    <w:rsid w:val="009D3005"/>
    <w:rsid w:val="009F580D"/>
    <w:rsid w:val="00A5395D"/>
    <w:rsid w:val="00A576A3"/>
    <w:rsid w:val="00A71F17"/>
    <w:rsid w:val="00A92B7D"/>
    <w:rsid w:val="00A95F70"/>
    <w:rsid w:val="00AA1A6D"/>
    <w:rsid w:val="00AC54BA"/>
    <w:rsid w:val="00AD7985"/>
    <w:rsid w:val="00B14302"/>
    <w:rsid w:val="00B6323E"/>
    <w:rsid w:val="00B93FAC"/>
    <w:rsid w:val="00BB26BE"/>
    <w:rsid w:val="00BB76CF"/>
    <w:rsid w:val="00C23318"/>
    <w:rsid w:val="00C3131E"/>
    <w:rsid w:val="00C4018E"/>
    <w:rsid w:val="00CA5A74"/>
    <w:rsid w:val="00CB36D5"/>
    <w:rsid w:val="00CE2089"/>
    <w:rsid w:val="00D13A8A"/>
    <w:rsid w:val="00D30DDF"/>
    <w:rsid w:val="00D3530C"/>
    <w:rsid w:val="00D55551"/>
    <w:rsid w:val="00DB51A9"/>
    <w:rsid w:val="00DC4A9F"/>
    <w:rsid w:val="00DC7E18"/>
    <w:rsid w:val="00E330F3"/>
    <w:rsid w:val="00E339DA"/>
    <w:rsid w:val="00E418E1"/>
    <w:rsid w:val="00E76630"/>
    <w:rsid w:val="00EA1427"/>
    <w:rsid w:val="00EF7772"/>
    <w:rsid w:val="00F020D0"/>
    <w:rsid w:val="00F07904"/>
    <w:rsid w:val="00F6735B"/>
    <w:rsid w:val="00F96D06"/>
    <w:rsid w:val="00FB5D0A"/>
    <w:rsid w:val="00FD5A4C"/>
    <w:rsid w:val="00FD738E"/>
    <w:rsid w:val="00FE2B43"/>
    <w:rsid w:val="00FF4D66"/>
    <w:rsid w:val="0B423733"/>
    <w:rsid w:val="12B26899"/>
    <w:rsid w:val="1309407F"/>
    <w:rsid w:val="161812A0"/>
    <w:rsid w:val="19AB2372"/>
    <w:rsid w:val="240A3AB2"/>
    <w:rsid w:val="27290332"/>
    <w:rsid w:val="28DA4460"/>
    <w:rsid w:val="291748F0"/>
    <w:rsid w:val="2A8D7776"/>
    <w:rsid w:val="33EB2AFC"/>
    <w:rsid w:val="3D255D75"/>
    <w:rsid w:val="3D3E0675"/>
    <w:rsid w:val="3EB23015"/>
    <w:rsid w:val="47357D75"/>
    <w:rsid w:val="4E51022D"/>
    <w:rsid w:val="4EF9551C"/>
    <w:rsid w:val="546D47E0"/>
    <w:rsid w:val="5F5725AF"/>
    <w:rsid w:val="6089521E"/>
    <w:rsid w:val="71C67D9B"/>
    <w:rsid w:val="7598087A"/>
    <w:rsid w:val="7777511B"/>
    <w:rsid w:val="78290E61"/>
    <w:rsid w:val="78B50F5C"/>
    <w:rsid w:val="7CDB65E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link w:val="10"/>
    <w:qFormat/>
    <w:uiPriority w:val="0"/>
    <w:pPr>
      <w:spacing w:after="120"/>
    </w:pPr>
    <w:rPr>
      <w:rFonts w:ascii="Calibri" w:hAnsi="Calibri"/>
      <w:szCs w:val="22"/>
    </w:rPr>
  </w:style>
  <w:style w:type="paragraph" w:styleId="4">
    <w:name w:val="Plain Text"/>
    <w:basedOn w:val="1"/>
    <w:qFormat/>
    <w:uiPriority w:val="0"/>
    <w:rPr>
      <w:rFonts w:ascii="宋体" w:hAnsi="Courier New" w:cs="Courier New"/>
      <w:szCs w:val="21"/>
    </w:rPr>
  </w:style>
  <w:style w:type="paragraph" w:styleId="5">
    <w:name w:val="footer"/>
    <w:basedOn w:val="1"/>
    <w:link w:val="11"/>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Body Text Char"/>
    <w:basedOn w:val="9"/>
    <w:link w:val="3"/>
    <w:qFormat/>
    <w:locked/>
    <w:uiPriority w:val="0"/>
    <w:rPr>
      <w:rFonts w:ascii="Calibri" w:hAnsi="Calibri" w:eastAsia="宋体"/>
      <w:kern w:val="2"/>
      <w:sz w:val="21"/>
      <w:szCs w:val="22"/>
      <w:lang w:val="en-US" w:eastAsia="zh-CN" w:bidi="ar-SA"/>
    </w:rPr>
  </w:style>
  <w:style w:type="character" w:customStyle="1" w:styleId="11">
    <w:name w:val=" Char Char"/>
    <w:link w:val="5"/>
    <w:qFormat/>
    <w:uiPriority w:val="0"/>
    <w:rPr>
      <w:kern w:val="2"/>
      <w:sz w:val="18"/>
      <w:szCs w:val="18"/>
    </w:rPr>
  </w:style>
  <w:style w:type="character" w:customStyle="1" w:styleId="12">
    <w:name w:val=" Char Char1"/>
    <w:link w:val="6"/>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Company>Microsoft</Company>
  <Pages>4</Pages>
  <Words>1386</Words>
  <Characters>1397</Characters>
  <Lines>18</Lines>
  <Paragraphs>5</Paragraphs>
  <TotalTime>25</TotalTime>
  <ScaleCrop>false</ScaleCrop>
  <LinksUpToDate>false</LinksUpToDate>
  <CharactersWithSpaces>2267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2018-01-07T08:26:00Z</dcterms:created>
  <dc:creator>yanghb</dc:creator>
  <cp:lastModifiedBy>GMS</cp:lastModifiedBy>
  <cp:lastPrinted>2018-03-05T02:58:00Z</cp:lastPrinted>
  <dcterms:modified xsi:type="dcterms:W3CDTF">2025-10-23T01:03:52Z</dcterms:modified>
  <dc:title>项 目 名 称：西昌学院2018南北校区垃圾清运（红色字体是举例，下同）</dc:title>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A4E1EB7E04154307BE1A0603364E54DF_13</vt:lpwstr>
  </property>
</Properties>
</file>